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4B4" w:rsidRDefault="00EF7454" w:rsidP="00AB1A87">
      <w:pPr>
        <w:ind w:left="-709"/>
        <w:rPr>
          <w:noProof/>
          <w:lang w:eastAsia="de-AT"/>
        </w:rPr>
      </w:pPr>
      <w:r>
        <w:rPr>
          <w:noProof/>
          <w:lang w:eastAsia="de-AT"/>
        </w:rPr>
        <w:drawing>
          <wp:inline distT="0" distB="0" distL="0" distR="0">
            <wp:extent cx="7070651" cy="9954507"/>
            <wp:effectExtent l="0" t="0" r="0" b="8890"/>
            <wp:docPr id="4" name="Grafik 4" descr="X:\WadK\Alternatives Budget\2015\Grafiken\ZGB2015Ti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WadK\Alternatives Budget\2015\Grafiken\ZGB2015Tite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70922" cy="9954888"/>
                    </a:xfrm>
                    <a:prstGeom prst="rect">
                      <a:avLst/>
                    </a:prstGeom>
                    <a:noFill/>
                    <a:ln>
                      <a:noFill/>
                    </a:ln>
                  </pic:spPr>
                </pic:pic>
              </a:graphicData>
            </a:graphic>
          </wp:inline>
        </w:drawing>
      </w:r>
      <w:r w:rsidR="00A904B4">
        <w:rPr>
          <w:noProof/>
          <w:lang w:eastAsia="de-AT"/>
        </w:rPr>
        <w:lastRenderedPageBreak/>
        <w:t xml:space="preserve">                                 </w:t>
      </w:r>
    </w:p>
    <w:sdt>
      <w:sdtPr>
        <w:rPr>
          <w:rFonts w:asciiTheme="minorHAnsi" w:eastAsiaTheme="minorHAnsi" w:hAnsiTheme="minorHAnsi" w:cstheme="minorBidi"/>
          <w:b w:val="0"/>
          <w:bCs w:val="0"/>
          <w:color w:val="auto"/>
          <w:sz w:val="22"/>
          <w:szCs w:val="22"/>
          <w:lang w:val="de-DE" w:eastAsia="en-US"/>
        </w:rPr>
        <w:id w:val="1625893220"/>
        <w:docPartObj>
          <w:docPartGallery w:val="Table of Contents"/>
          <w:docPartUnique/>
        </w:docPartObj>
      </w:sdtPr>
      <w:sdtEndPr/>
      <w:sdtContent>
        <w:p w:rsidR="009B5B06" w:rsidRDefault="009B5B06">
          <w:pPr>
            <w:pStyle w:val="Inhaltsverzeichnisberschrift"/>
            <w:rPr>
              <w:lang w:val="de-DE"/>
            </w:rPr>
          </w:pPr>
          <w:r>
            <w:rPr>
              <w:lang w:val="de-DE"/>
            </w:rPr>
            <w:t>Inhalt</w:t>
          </w:r>
        </w:p>
        <w:p w:rsidR="009B5B06" w:rsidRDefault="009B5B06" w:rsidP="009B5B06">
          <w:pPr>
            <w:rPr>
              <w:lang w:val="de-DE" w:eastAsia="de-AT"/>
            </w:rPr>
          </w:pPr>
        </w:p>
        <w:p w:rsidR="009B5B06" w:rsidRPr="009B5B06" w:rsidRDefault="009B5B06" w:rsidP="009B5B06">
          <w:pPr>
            <w:rPr>
              <w:lang w:val="de-DE" w:eastAsia="de-AT"/>
            </w:rPr>
          </w:pPr>
        </w:p>
        <w:p w:rsidR="00C22537" w:rsidRDefault="009B5B06">
          <w:pPr>
            <w:pStyle w:val="Verzeichnis1"/>
            <w:rPr>
              <w:rFonts w:eastAsiaTheme="minorEastAsia"/>
              <w:b w:val="0"/>
              <w:sz w:val="22"/>
              <w:szCs w:val="22"/>
              <w:lang w:eastAsia="de-AT"/>
            </w:rPr>
          </w:pPr>
          <w:r>
            <w:rPr>
              <w:b w:val="0"/>
            </w:rPr>
            <w:fldChar w:fldCharType="begin"/>
          </w:r>
          <w:r>
            <w:rPr>
              <w:b w:val="0"/>
            </w:rPr>
            <w:instrText xml:space="preserve"> TOC \o "1-3" \h \z \u </w:instrText>
          </w:r>
          <w:r>
            <w:rPr>
              <w:b w:val="0"/>
            </w:rPr>
            <w:fldChar w:fldCharType="separate"/>
          </w:r>
          <w:hyperlink w:anchor="_Toc406072743" w:history="1">
            <w:r w:rsidR="00C22537" w:rsidRPr="00E310A6">
              <w:rPr>
                <w:rStyle w:val="Hyperlink"/>
              </w:rPr>
              <w:t>Wege aus der Krise: die Allianz</w:t>
            </w:r>
            <w:r w:rsidR="00C22537">
              <w:rPr>
                <w:webHidden/>
              </w:rPr>
              <w:tab/>
            </w:r>
            <w:r w:rsidR="00C22537">
              <w:rPr>
                <w:webHidden/>
              </w:rPr>
              <w:fldChar w:fldCharType="begin"/>
            </w:r>
            <w:r w:rsidR="00C22537">
              <w:rPr>
                <w:webHidden/>
              </w:rPr>
              <w:instrText xml:space="preserve"> PAGEREF _Toc406072743 \h </w:instrText>
            </w:r>
            <w:r w:rsidR="00C22537">
              <w:rPr>
                <w:webHidden/>
              </w:rPr>
            </w:r>
            <w:r w:rsidR="00C22537">
              <w:rPr>
                <w:webHidden/>
              </w:rPr>
              <w:fldChar w:fldCharType="separate"/>
            </w:r>
            <w:r w:rsidR="00C22537">
              <w:rPr>
                <w:webHidden/>
              </w:rPr>
              <w:t>3</w:t>
            </w:r>
            <w:r w:rsidR="00C22537">
              <w:rPr>
                <w:webHidden/>
              </w:rPr>
              <w:fldChar w:fldCharType="end"/>
            </w:r>
          </w:hyperlink>
        </w:p>
        <w:p w:rsidR="00C22537" w:rsidRDefault="00FE2B48">
          <w:pPr>
            <w:pStyle w:val="Verzeichnis1"/>
            <w:rPr>
              <w:rFonts w:eastAsiaTheme="minorEastAsia"/>
              <w:b w:val="0"/>
              <w:sz w:val="22"/>
              <w:szCs w:val="22"/>
              <w:lang w:eastAsia="de-AT"/>
            </w:rPr>
          </w:pPr>
          <w:hyperlink w:anchor="_Toc406072744" w:history="1">
            <w:r w:rsidR="00C22537" w:rsidRPr="00E310A6">
              <w:rPr>
                <w:rStyle w:val="Hyperlink"/>
              </w:rPr>
              <w:t>Vorwort</w:t>
            </w:r>
            <w:r w:rsidR="00C22537">
              <w:rPr>
                <w:webHidden/>
              </w:rPr>
              <w:tab/>
            </w:r>
            <w:r w:rsidR="00C22537">
              <w:rPr>
                <w:webHidden/>
              </w:rPr>
              <w:fldChar w:fldCharType="begin"/>
            </w:r>
            <w:r w:rsidR="00C22537">
              <w:rPr>
                <w:webHidden/>
              </w:rPr>
              <w:instrText xml:space="preserve"> PAGEREF _Toc406072744 \h </w:instrText>
            </w:r>
            <w:r w:rsidR="00C22537">
              <w:rPr>
                <w:webHidden/>
              </w:rPr>
            </w:r>
            <w:r w:rsidR="00C22537">
              <w:rPr>
                <w:webHidden/>
              </w:rPr>
              <w:fldChar w:fldCharType="separate"/>
            </w:r>
            <w:r w:rsidR="00C22537">
              <w:rPr>
                <w:webHidden/>
              </w:rPr>
              <w:t>4</w:t>
            </w:r>
            <w:r w:rsidR="00C22537">
              <w:rPr>
                <w:webHidden/>
              </w:rPr>
              <w:fldChar w:fldCharType="end"/>
            </w:r>
          </w:hyperlink>
        </w:p>
        <w:p w:rsidR="00C22537" w:rsidRDefault="00FE2B48">
          <w:pPr>
            <w:pStyle w:val="Verzeichnis1"/>
            <w:rPr>
              <w:rFonts w:eastAsiaTheme="minorEastAsia"/>
              <w:b w:val="0"/>
              <w:sz w:val="22"/>
              <w:szCs w:val="22"/>
              <w:lang w:eastAsia="de-AT"/>
            </w:rPr>
          </w:pPr>
          <w:hyperlink w:anchor="_Toc406072745" w:history="1">
            <w:r w:rsidR="00C22537" w:rsidRPr="00E310A6">
              <w:rPr>
                <w:rStyle w:val="Hyperlink"/>
              </w:rPr>
              <w:t>Das Budget geht uns alle an!</w:t>
            </w:r>
            <w:r w:rsidR="00C22537">
              <w:rPr>
                <w:webHidden/>
              </w:rPr>
              <w:tab/>
            </w:r>
            <w:r w:rsidR="00C22537">
              <w:rPr>
                <w:webHidden/>
              </w:rPr>
              <w:fldChar w:fldCharType="begin"/>
            </w:r>
            <w:r w:rsidR="00C22537">
              <w:rPr>
                <w:webHidden/>
              </w:rPr>
              <w:instrText xml:space="preserve"> PAGEREF _Toc406072745 \h </w:instrText>
            </w:r>
            <w:r w:rsidR="00C22537">
              <w:rPr>
                <w:webHidden/>
              </w:rPr>
            </w:r>
            <w:r w:rsidR="00C22537">
              <w:rPr>
                <w:webHidden/>
              </w:rPr>
              <w:fldChar w:fldCharType="separate"/>
            </w:r>
            <w:r w:rsidR="00C22537">
              <w:rPr>
                <w:webHidden/>
              </w:rPr>
              <w:t>5</w:t>
            </w:r>
            <w:r w:rsidR="00C22537">
              <w:rPr>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46" w:history="1">
            <w:r w:rsidR="00C22537" w:rsidRPr="00E310A6">
              <w:rPr>
                <w:rStyle w:val="Hyperlink"/>
                <w:noProof/>
              </w:rPr>
              <w:t>Das öffentliche Budget ist in Zahlen gegossene Politik</w:t>
            </w:r>
            <w:r w:rsidR="00C22537">
              <w:rPr>
                <w:noProof/>
                <w:webHidden/>
              </w:rPr>
              <w:tab/>
            </w:r>
            <w:r w:rsidR="00C22537">
              <w:rPr>
                <w:noProof/>
                <w:webHidden/>
              </w:rPr>
              <w:fldChar w:fldCharType="begin"/>
            </w:r>
            <w:r w:rsidR="00C22537">
              <w:rPr>
                <w:noProof/>
                <w:webHidden/>
              </w:rPr>
              <w:instrText xml:space="preserve"> PAGEREF _Toc406072746 \h </w:instrText>
            </w:r>
            <w:r w:rsidR="00C22537">
              <w:rPr>
                <w:noProof/>
                <w:webHidden/>
              </w:rPr>
            </w:r>
            <w:r w:rsidR="00C22537">
              <w:rPr>
                <w:noProof/>
                <w:webHidden/>
              </w:rPr>
              <w:fldChar w:fldCharType="separate"/>
            </w:r>
            <w:r w:rsidR="00C22537">
              <w:rPr>
                <w:noProof/>
                <w:webHidden/>
              </w:rPr>
              <w:t>5</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47" w:history="1">
            <w:r w:rsidR="00C22537" w:rsidRPr="00E310A6">
              <w:rPr>
                <w:rStyle w:val="Hyperlink"/>
                <w:noProof/>
              </w:rPr>
              <w:t>Ein anderes Budget ist nötig</w:t>
            </w:r>
            <w:r w:rsidR="00C22537">
              <w:rPr>
                <w:noProof/>
                <w:webHidden/>
              </w:rPr>
              <w:tab/>
            </w:r>
            <w:r w:rsidR="00C22537">
              <w:rPr>
                <w:noProof/>
                <w:webHidden/>
              </w:rPr>
              <w:fldChar w:fldCharType="begin"/>
            </w:r>
            <w:r w:rsidR="00C22537">
              <w:rPr>
                <w:noProof/>
                <w:webHidden/>
              </w:rPr>
              <w:instrText xml:space="preserve"> PAGEREF _Toc406072747 \h </w:instrText>
            </w:r>
            <w:r w:rsidR="00C22537">
              <w:rPr>
                <w:noProof/>
                <w:webHidden/>
              </w:rPr>
            </w:r>
            <w:r w:rsidR="00C22537">
              <w:rPr>
                <w:noProof/>
                <w:webHidden/>
              </w:rPr>
              <w:fldChar w:fldCharType="separate"/>
            </w:r>
            <w:r w:rsidR="00C22537">
              <w:rPr>
                <w:noProof/>
                <w:webHidden/>
              </w:rPr>
              <w:t>6</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48" w:history="1">
            <w:r w:rsidR="00C22537" w:rsidRPr="00E310A6">
              <w:rPr>
                <w:rStyle w:val="Hyperlink"/>
                <w:noProof/>
              </w:rPr>
              <w:t>Ein Zukunftsbudget braucht Demokratie!</w:t>
            </w:r>
            <w:r w:rsidR="00C22537">
              <w:rPr>
                <w:noProof/>
                <w:webHidden/>
              </w:rPr>
              <w:tab/>
            </w:r>
            <w:r w:rsidR="00C22537">
              <w:rPr>
                <w:noProof/>
                <w:webHidden/>
              </w:rPr>
              <w:fldChar w:fldCharType="begin"/>
            </w:r>
            <w:r w:rsidR="00C22537">
              <w:rPr>
                <w:noProof/>
                <w:webHidden/>
              </w:rPr>
              <w:instrText xml:space="preserve"> PAGEREF _Toc406072748 \h </w:instrText>
            </w:r>
            <w:r w:rsidR="00C22537">
              <w:rPr>
                <w:noProof/>
                <w:webHidden/>
              </w:rPr>
            </w:r>
            <w:r w:rsidR="00C22537">
              <w:rPr>
                <w:noProof/>
                <w:webHidden/>
              </w:rPr>
              <w:fldChar w:fldCharType="separate"/>
            </w:r>
            <w:r w:rsidR="00C22537">
              <w:rPr>
                <w:noProof/>
                <w:webHidden/>
              </w:rPr>
              <w:t>9</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49" w:history="1">
            <w:r w:rsidR="00C22537" w:rsidRPr="00E310A6">
              <w:rPr>
                <w:rStyle w:val="Hyperlink"/>
                <w:noProof/>
              </w:rPr>
              <w:t>Budgetpolitik ist Frauen- und Gleichstellungspolitik</w:t>
            </w:r>
            <w:r w:rsidR="00C22537">
              <w:rPr>
                <w:noProof/>
                <w:webHidden/>
              </w:rPr>
              <w:tab/>
            </w:r>
            <w:r w:rsidR="00C22537">
              <w:rPr>
                <w:noProof/>
                <w:webHidden/>
              </w:rPr>
              <w:fldChar w:fldCharType="begin"/>
            </w:r>
            <w:r w:rsidR="00C22537">
              <w:rPr>
                <w:noProof/>
                <w:webHidden/>
              </w:rPr>
              <w:instrText xml:space="preserve"> PAGEREF _Toc406072749 \h </w:instrText>
            </w:r>
            <w:r w:rsidR="00C22537">
              <w:rPr>
                <w:noProof/>
                <w:webHidden/>
              </w:rPr>
            </w:r>
            <w:r w:rsidR="00C22537">
              <w:rPr>
                <w:noProof/>
                <w:webHidden/>
              </w:rPr>
              <w:fldChar w:fldCharType="separate"/>
            </w:r>
            <w:r w:rsidR="00C22537">
              <w:rPr>
                <w:noProof/>
                <w:webHidden/>
              </w:rPr>
              <w:t>10</w:t>
            </w:r>
            <w:r w:rsidR="00C22537">
              <w:rPr>
                <w:noProof/>
                <w:webHidden/>
              </w:rPr>
              <w:fldChar w:fldCharType="end"/>
            </w:r>
          </w:hyperlink>
        </w:p>
        <w:p w:rsidR="00C22537" w:rsidRDefault="00FE2B48">
          <w:pPr>
            <w:pStyle w:val="Verzeichnis1"/>
            <w:rPr>
              <w:rFonts w:eastAsiaTheme="minorEastAsia"/>
              <w:b w:val="0"/>
              <w:sz w:val="22"/>
              <w:szCs w:val="22"/>
              <w:lang w:eastAsia="de-AT"/>
            </w:rPr>
          </w:pPr>
          <w:hyperlink w:anchor="_Toc406072750" w:history="1">
            <w:r w:rsidR="00C22537" w:rsidRPr="00E310A6">
              <w:rPr>
                <w:rStyle w:val="Hyperlink"/>
              </w:rPr>
              <w:t>Unsere Erfolgsbilanz</w:t>
            </w:r>
            <w:r w:rsidR="00C22537">
              <w:rPr>
                <w:webHidden/>
              </w:rPr>
              <w:tab/>
            </w:r>
            <w:r w:rsidR="00C22537">
              <w:rPr>
                <w:webHidden/>
              </w:rPr>
              <w:fldChar w:fldCharType="begin"/>
            </w:r>
            <w:r w:rsidR="00C22537">
              <w:rPr>
                <w:webHidden/>
              </w:rPr>
              <w:instrText xml:space="preserve"> PAGEREF _Toc406072750 \h </w:instrText>
            </w:r>
            <w:r w:rsidR="00C22537">
              <w:rPr>
                <w:webHidden/>
              </w:rPr>
            </w:r>
            <w:r w:rsidR="00C22537">
              <w:rPr>
                <w:webHidden/>
              </w:rPr>
              <w:fldChar w:fldCharType="separate"/>
            </w:r>
            <w:r w:rsidR="00C22537">
              <w:rPr>
                <w:webHidden/>
              </w:rPr>
              <w:t>12</w:t>
            </w:r>
            <w:r w:rsidR="00C22537">
              <w:rPr>
                <w:webHidden/>
              </w:rPr>
              <w:fldChar w:fldCharType="end"/>
            </w:r>
          </w:hyperlink>
        </w:p>
        <w:p w:rsidR="00C22537" w:rsidRDefault="00FE2B48">
          <w:pPr>
            <w:pStyle w:val="Verzeichnis1"/>
            <w:rPr>
              <w:rFonts w:eastAsiaTheme="minorEastAsia"/>
              <w:b w:val="0"/>
              <w:sz w:val="22"/>
              <w:szCs w:val="22"/>
              <w:lang w:eastAsia="de-AT"/>
            </w:rPr>
          </w:pPr>
          <w:hyperlink w:anchor="_Toc406072751" w:history="1">
            <w:r w:rsidR="00C22537" w:rsidRPr="00E310A6">
              <w:rPr>
                <w:rStyle w:val="Hyperlink"/>
              </w:rPr>
              <w:t>Das Zukunftsbudget 2015 im Überblick und</w:t>
            </w:r>
            <w:r w:rsidR="00C22537">
              <w:rPr>
                <w:webHidden/>
              </w:rPr>
              <w:tab/>
            </w:r>
            <w:r w:rsidR="00C22537">
              <w:rPr>
                <w:webHidden/>
              </w:rPr>
              <w:fldChar w:fldCharType="begin"/>
            </w:r>
            <w:r w:rsidR="00C22537">
              <w:rPr>
                <w:webHidden/>
              </w:rPr>
              <w:instrText xml:space="preserve"> PAGEREF _Toc406072751 \h </w:instrText>
            </w:r>
            <w:r w:rsidR="00C22537">
              <w:rPr>
                <w:webHidden/>
              </w:rPr>
            </w:r>
            <w:r w:rsidR="00C22537">
              <w:rPr>
                <w:webHidden/>
              </w:rPr>
              <w:fldChar w:fldCharType="separate"/>
            </w:r>
            <w:r w:rsidR="00C22537">
              <w:rPr>
                <w:webHidden/>
              </w:rPr>
              <w:t>15</w:t>
            </w:r>
            <w:r w:rsidR="00C22537">
              <w:rPr>
                <w:webHidden/>
              </w:rPr>
              <w:fldChar w:fldCharType="end"/>
            </w:r>
          </w:hyperlink>
        </w:p>
        <w:p w:rsidR="00C22537" w:rsidRDefault="00FE2B48">
          <w:pPr>
            <w:pStyle w:val="Verzeichnis1"/>
            <w:rPr>
              <w:rFonts w:eastAsiaTheme="minorEastAsia"/>
              <w:b w:val="0"/>
              <w:sz w:val="22"/>
              <w:szCs w:val="22"/>
              <w:lang w:eastAsia="de-AT"/>
            </w:rPr>
          </w:pPr>
          <w:hyperlink w:anchor="_Toc406072752" w:history="1">
            <w:r w:rsidR="00C22537" w:rsidRPr="00E310A6">
              <w:rPr>
                <w:rStyle w:val="Hyperlink"/>
              </w:rPr>
              <w:t>Investitionen in die Zukunft</w:t>
            </w:r>
            <w:r w:rsidR="00C22537">
              <w:rPr>
                <w:webHidden/>
              </w:rPr>
              <w:tab/>
            </w:r>
            <w:r w:rsidR="00C22537">
              <w:rPr>
                <w:webHidden/>
              </w:rPr>
              <w:fldChar w:fldCharType="begin"/>
            </w:r>
            <w:r w:rsidR="00C22537">
              <w:rPr>
                <w:webHidden/>
              </w:rPr>
              <w:instrText xml:space="preserve"> PAGEREF _Toc406072752 \h </w:instrText>
            </w:r>
            <w:r w:rsidR="00C22537">
              <w:rPr>
                <w:webHidden/>
              </w:rPr>
            </w:r>
            <w:r w:rsidR="00C22537">
              <w:rPr>
                <w:webHidden/>
              </w:rPr>
              <w:fldChar w:fldCharType="separate"/>
            </w:r>
            <w:r w:rsidR="00C22537">
              <w:rPr>
                <w:webHidden/>
              </w:rPr>
              <w:t>17</w:t>
            </w:r>
            <w:r w:rsidR="00C22537">
              <w:rPr>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3" w:history="1">
            <w:r w:rsidR="00C22537">
              <w:rPr>
                <w:noProof/>
                <w:webHidden/>
              </w:rPr>
              <w:tab/>
            </w:r>
            <w:r w:rsidR="00C22537">
              <w:rPr>
                <w:noProof/>
                <w:webHidden/>
              </w:rPr>
              <w:fldChar w:fldCharType="begin"/>
            </w:r>
            <w:r w:rsidR="00C22537">
              <w:rPr>
                <w:noProof/>
                <w:webHidden/>
              </w:rPr>
              <w:instrText xml:space="preserve"> PAGEREF _Toc406072753 \h </w:instrText>
            </w:r>
            <w:r w:rsidR="00C22537">
              <w:rPr>
                <w:noProof/>
                <w:webHidden/>
              </w:rPr>
            </w:r>
            <w:r w:rsidR="00C22537">
              <w:rPr>
                <w:noProof/>
                <w:webHidden/>
              </w:rPr>
              <w:fldChar w:fldCharType="separate"/>
            </w:r>
            <w:r w:rsidR="00C22537">
              <w:rPr>
                <w:noProof/>
                <w:webHidden/>
              </w:rPr>
              <w:t>19</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4" w:history="1">
            <w:r w:rsidR="00C22537" w:rsidRPr="00E310A6">
              <w:rPr>
                <w:rStyle w:val="Hyperlink"/>
                <w:noProof/>
              </w:rPr>
              <w:t>Sozial gerecht und solidarisch aus der Energiekrise!</w:t>
            </w:r>
            <w:r w:rsidR="00C22537">
              <w:rPr>
                <w:noProof/>
                <w:webHidden/>
              </w:rPr>
              <w:tab/>
            </w:r>
            <w:r w:rsidR="00C22537">
              <w:rPr>
                <w:noProof/>
                <w:webHidden/>
              </w:rPr>
              <w:fldChar w:fldCharType="begin"/>
            </w:r>
            <w:r w:rsidR="00C22537">
              <w:rPr>
                <w:noProof/>
                <w:webHidden/>
              </w:rPr>
              <w:instrText xml:space="preserve"> PAGEREF _Toc406072754 \h </w:instrText>
            </w:r>
            <w:r w:rsidR="00C22537">
              <w:rPr>
                <w:noProof/>
                <w:webHidden/>
              </w:rPr>
            </w:r>
            <w:r w:rsidR="00C22537">
              <w:rPr>
                <w:noProof/>
                <w:webHidden/>
              </w:rPr>
              <w:fldChar w:fldCharType="separate"/>
            </w:r>
            <w:r w:rsidR="00C22537">
              <w:rPr>
                <w:noProof/>
                <w:webHidden/>
              </w:rPr>
              <w:t>20</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5" w:history="1">
            <w:r w:rsidR="00C22537" w:rsidRPr="00E310A6">
              <w:rPr>
                <w:rStyle w:val="Hyperlink"/>
                <w:noProof/>
              </w:rPr>
              <w:t>Leistbare und umweltschonende Mobilität für alle!</w:t>
            </w:r>
            <w:r w:rsidR="00C22537">
              <w:rPr>
                <w:noProof/>
                <w:webHidden/>
              </w:rPr>
              <w:tab/>
            </w:r>
            <w:r w:rsidR="00C22537">
              <w:rPr>
                <w:noProof/>
                <w:webHidden/>
              </w:rPr>
              <w:fldChar w:fldCharType="begin"/>
            </w:r>
            <w:r w:rsidR="00C22537">
              <w:rPr>
                <w:noProof/>
                <w:webHidden/>
              </w:rPr>
              <w:instrText xml:space="preserve"> PAGEREF _Toc406072755 \h </w:instrText>
            </w:r>
            <w:r w:rsidR="00C22537">
              <w:rPr>
                <w:noProof/>
                <w:webHidden/>
              </w:rPr>
            </w:r>
            <w:r w:rsidR="00C22537">
              <w:rPr>
                <w:noProof/>
                <w:webHidden/>
              </w:rPr>
              <w:fldChar w:fldCharType="separate"/>
            </w:r>
            <w:r w:rsidR="00C22537">
              <w:rPr>
                <w:noProof/>
                <w:webHidden/>
              </w:rPr>
              <w:t>21</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6" w:history="1">
            <w:r w:rsidR="00C22537" w:rsidRPr="00E310A6">
              <w:rPr>
                <w:rStyle w:val="Hyperlink"/>
                <w:noProof/>
              </w:rPr>
              <w:t>Gesund leben - in Würde altern</w:t>
            </w:r>
            <w:r w:rsidR="00C22537">
              <w:rPr>
                <w:noProof/>
                <w:webHidden/>
              </w:rPr>
              <w:tab/>
            </w:r>
            <w:r w:rsidR="00C22537">
              <w:rPr>
                <w:noProof/>
                <w:webHidden/>
              </w:rPr>
              <w:fldChar w:fldCharType="begin"/>
            </w:r>
            <w:r w:rsidR="00C22537">
              <w:rPr>
                <w:noProof/>
                <w:webHidden/>
              </w:rPr>
              <w:instrText xml:space="preserve"> PAGEREF _Toc406072756 \h </w:instrText>
            </w:r>
            <w:r w:rsidR="00C22537">
              <w:rPr>
                <w:noProof/>
                <w:webHidden/>
              </w:rPr>
            </w:r>
            <w:r w:rsidR="00C22537">
              <w:rPr>
                <w:noProof/>
                <w:webHidden/>
              </w:rPr>
              <w:fldChar w:fldCharType="separate"/>
            </w:r>
            <w:r w:rsidR="00C22537">
              <w:rPr>
                <w:noProof/>
                <w:webHidden/>
              </w:rPr>
              <w:t>23</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7" w:history="1">
            <w:r w:rsidR="00C22537" w:rsidRPr="00E310A6">
              <w:rPr>
                <w:rStyle w:val="Hyperlink"/>
                <w:noProof/>
              </w:rPr>
              <w:t>Armutsprävention statt Almosen</w:t>
            </w:r>
            <w:r w:rsidR="00C22537">
              <w:rPr>
                <w:noProof/>
                <w:webHidden/>
              </w:rPr>
              <w:tab/>
            </w:r>
            <w:r w:rsidR="00C22537">
              <w:rPr>
                <w:noProof/>
                <w:webHidden/>
              </w:rPr>
              <w:fldChar w:fldCharType="begin"/>
            </w:r>
            <w:r w:rsidR="00C22537">
              <w:rPr>
                <w:noProof/>
                <w:webHidden/>
              </w:rPr>
              <w:instrText xml:space="preserve"> PAGEREF _Toc406072757 \h </w:instrText>
            </w:r>
            <w:r w:rsidR="00C22537">
              <w:rPr>
                <w:noProof/>
                <w:webHidden/>
              </w:rPr>
            </w:r>
            <w:r w:rsidR="00C22537">
              <w:rPr>
                <w:noProof/>
                <w:webHidden/>
              </w:rPr>
              <w:fldChar w:fldCharType="separate"/>
            </w:r>
            <w:r w:rsidR="00C22537">
              <w:rPr>
                <w:noProof/>
                <w:webHidden/>
              </w:rPr>
              <w:t>24</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8" w:history="1">
            <w:r w:rsidR="00C22537" w:rsidRPr="00E310A6">
              <w:rPr>
                <w:rStyle w:val="Hyperlink"/>
                <w:noProof/>
              </w:rPr>
              <w:t>Arbeit gerecht verteilen!</w:t>
            </w:r>
            <w:r w:rsidR="00C22537">
              <w:rPr>
                <w:noProof/>
                <w:webHidden/>
              </w:rPr>
              <w:tab/>
            </w:r>
            <w:r w:rsidR="00C22537">
              <w:rPr>
                <w:noProof/>
                <w:webHidden/>
              </w:rPr>
              <w:fldChar w:fldCharType="begin"/>
            </w:r>
            <w:r w:rsidR="00C22537">
              <w:rPr>
                <w:noProof/>
                <w:webHidden/>
              </w:rPr>
              <w:instrText xml:space="preserve"> PAGEREF _Toc406072758 \h </w:instrText>
            </w:r>
            <w:r w:rsidR="00C22537">
              <w:rPr>
                <w:noProof/>
                <w:webHidden/>
              </w:rPr>
            </w:r>
            <w:r w:rsidR="00C22537">
              <w:rPr>
                <w:noProof/>
                <w:webHidden/>
              </w:rPr>
              <w:fldChar w:fldCharType="separate"/>
            </w:r>
            <w:r w:rsidR="00C22537">
              <w:rPr>
                <w:noProof/>
                <w:webHidden/>
              </w:rPr>
              <w:t>26</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59" w:history="1">
            <w:r w:rsidR="00C22537" w:rsidRPr="00E310A6">
              <w:rPr>
                <w:rStyle w:val="Hyperlink"/>
                <w:noProof/>
              </w:rPr>
              <w:t>Freie Bildung für alle!</w:t>
            </w:r>
            <w:r w:rsidR="00C22537">
              <w:rPr>
                <w:noProof/>
                <w:webHidden/>
              </w:rPr>
              <w:tab/>
            </w:r>
            <w:r w:rsidR="00C22537">
              <w:rPr>
                <w:noProof/>
                <w:webHidden/>
              </w:rPr>
              <w:fldChar w:fldCharType="begin"/>
            </w:r>
            <w:r w:rsidR="00C22537">
              <w:rPr>
                <w:noProof/>
                <w:webHidden/>
              </w:rPr>
              <w:instrText xml:space="preserve"> PAGEREF _Toc406072759 \h </w:instrText>
            </w:r>
            <w:r w:rsidR="00C22537">
              <w:rPr>
                <w:noProof/>
                <w:webHidden/>
              </w:rPr>
            </w:r>
            <w:r w:rsidR="00C22537">
              <w:rPr>
                <w:noProof/>
                <w:webHidden/>
              </w:rPr>
              <w:fldChar w:fldCharType="separate"/>
            </w:r>
            <w:r w:rsidR="00C22537">
              <w:rPr>
                <w:noProof/>
                <w:webHidden/>
              </w:rPr>
              <w:t>30</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0" w:history="1">
            <w:r w:rsidR="00C22537" w:rsidRPr="00E310A6">
              <w:rPr>
                <w:rStyle w:val="Hyperlink"/>
                <w:noProof/>
              </w:rPr>
              <w:t>Familienförderung erhöhen und vereinfachen</w:t>
            </w:r>
            <w:r w:rsidR="00C22537">
              <w:rPr>
                <w:noProof/>
                <w:webHidden/>
              </w:rPr>
              <w:tab/>
            </w:r>
            <w:r w:rsidR="00C22537">
              <w:rPr>
                <w:noProof/>
                <w:webHidden/>
              </w:rPr>
              <w:fldChar w:fldCharType="begin"/>
            </w:r>
            <w:r w:rsidR="00C22537">
              <w:rPr>
                <w:noProof/>
                <w:webHidden/>
              </w:rPr>
              <w:instrText xml:space="preserve"> PAGEREF _Toc406072760 \h </w:instrText>
            </w:r>
            <w:r w:rsidR="00C22537">
              <w:rPr>
                <w:noProof/>
                <w:webHidden/>
              </w:rPr>
            </w:r>
            <w:r w:rsidR="00C22537">
              <w:rPr>
                <w:noProof/>
                <w:webHidden/>
              </w:rPr>
              <w:fldChar w:fldCharType="separate"/>
            </w:r>
            <w:r w:rsidR="00C22537">
              <w:rPr>
                <w:noProof/>
                <w:webHidden/>
              </w:rPr>
              <w:t>32</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1" w:history="1">
            <w:r w:rsidR="00C22537" w:rsidRPr="00E310A6">
              <w:rPr>
                <w:rStyle w:val="Hyperlink"/>
                <w:noProof/>
              </w:rPr>
              <w:t>Leistbares Wohnen für alle</w:t>
            </w:r>
            <w:r w:rsidR="00C22537">
              <w:rPr>
                <w:noProof/>
                <w:webHidden/>
              </w:rPr>
              <w:tab/>
            </w:r>
            <w:r w:rsidR="00C22537">
              <w:rPr>
                <w:noProof/>
                <w:webHidden/>
              </w:rPr>
              <w:fldChar w:fldCharType="begin"/>
            </w:r>
            <w:r w:rsidR="00C22537">
              <w:rPr>
                <w:noProof/>
                <w:webHidden/>
              </w:rPr>
              <w:instrText xml:space="preserve"> PAGEREF _Toc406072761 \h </w:instrText>
            </w:r>
            <w:r w:rsidR="00C22537">
              <w:rPr>
                <w:noProof/>
                <w:webHidden/>
              </w:rPr>
            </w:r>
            <w:r w:rsidR="00C22537">
              <w:rPr>
                <w:noProof/>
                <w:webHidden/>
              </w:rPr>
              <w:fldChar w:fldCharType="separate"/>
            </w:r>
            <w:r w:rsidR="00C22537">
              <w:rPr>
                <w:noProof/>
                <w:webHidden/>
              </w:rPr>
              <w:t>33</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2" w:history="1">
            <w:r w:rsidR="00C22537" w:rsidRPr="00E310A6">
              <w:rPr>
                <w:rStyle w:val="Hyperlink"/>
                <w:noProof/>
              </w:rPr>
              <w:t>Ein Budget für den Menschenschutz</w:t>
            </w:r>
            <w:r w:rsidR="00C22537">
              <w:rPr>
                <w:noProof/>
                <w:webHidden/>
              </w:rPr>
              <w:tab/>
            </w:r>
            <w:r w:rsidR="00C22537">
              <w:rPr>
                <w:noProof/>
                <w:webHidden/>
              </w:rPr>
              <w:fldChar w:fldCharType="begin"/>
            </w:r>
            <w:r w:rsidR="00C22537">
              <w:rPr>
                <w:noProof/>
                <w:webHidden/>
              </w:rPr>
              <w:instrText xml:space="preserve"> PAGEREF _Toc406072762 \h </w:instrText>
            </w:r>
            <w:r w:rsidR="00C22537">
              <w:rPr>
                <w:noProof/>
                <w:webHidden/>
              </w:rPr>
            </w:r>
            <w:r w:rsidR="00C22537">
              <w:rPr>
                <w:noProof/>
                <w:webHidden/>
              </w:rPr>
              <w:fldChar w:fldCharType="separate"/>
            </w:r>
            <w:r w:rsidR="00C22537">
              <w:rPr>
                <w:noProof/>
                <w:webHidden/>
              </w:rPr>
              <w:t>37</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3" w:history="1">
            <w:r w:rsidR="00C22537" w:rsidRPr="00E310A6">
              <w:rPr>
                <w:rStyle w:val="Hyperlink"/>
                <w:noProof/>
              </w:rPr>
              <w:t>Kunst und Kultur für alle</w:t>
            </w:r>
            <w:r w:rsidR="00C22537">
              <w:rPr>
                <w:noProof/>
                <w:webHidden/>
              </w:rPr>
              <w:tab/>
            </w:r>
            <w:r w:rsidR="00C22537">
              <w:rPr>
                <w:noProof/>
                <w:webHidden/>
              </w:rPr>
              <w:fldChar w:fldCharType="begin"/>
            </w:r>
            <w:r w:rsidR="00C22537">
              <w:rPr>
                <w:noProof/>
                <w:webHidden/>
              </w:rPr>
              <w:instrText xml:space="preserve"> PAGEREF _Toc406072763 \h </w:instrText>
            </w:r>
            <w:r w:rsidR="00C22537">
              <w:rPr>
                <w:noProof/>
                <w:webHidden/>
              </w:rPr>
            </w:r>
            <w:r w:rsidR="00C22537">
              <w:rPr>
                <w:noProof/>
                <w:webHidden/>
              </w:rPr>
              <w:fldChar w:fldCharType="separate"/>
            </w:r>
            <w:r w:rsidR="00C22537">
              <w:rPr>
                <w:noProof/>
                <w:webHidden/>
              </w:rPr>
              <w:t>38</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4" w:history="1">
            <w:r w:rsidR="00C22537" w:rsidRPr="00E310A6">
              <w:rPr>
                <w:rStyle w:val="Hyperlink"/>
                <w:noProof/>
              </w:rPr>
              <w:t>Entwicklungszusammenarbeit, humanitäre Hilfe und Klimafinanzierung</w:t>
            </w:r>
            <w:r w:rsidR="00C22537">
              <w:rPr>
                <w:noProof/>
                <w:webHidden/>
              </w:rPr>
              <w:tab/>
            </w:r>
            <w:r w:rsidR="00C22537">
              <w:rPr>
                <w:noProof/>
                <w:webHidden/>
              </w:rPr>
              <w:fldChar w:fldCharType="begin"/>
            </w:r>
            <w:r w:rsidR="00C22537">
              <w:rPr>
                <w:noProof/>
                <w:webHidden/>
              </w:rPr>
              <w:instrText xml:space="preserve"> PAGEREF _Toc406072764 \h </w:instrText>
            </w:r>
            <w:r w:rsidR="00C22537">
              <w:rPr>
                <w:noProof/>
                <w:webHidden/>
              </w:rPr>
            </w:r>
            <w:r w:rsidR="00C22537">
              <w:rPr>
                <w:noProof/>
                <w:webHidden/>
              </w:rPr>
              <w:fldChar w:fldCharType="separate"/>
            </w:r>
            <w:r w:rsidR="00C22537">
              <w:rPr>
                <w:noProof/>
                <w:webHidden/>
              </w:rPr>
              <w:t>40</w:t>
            </w:r>
            <w:r w:rsidR="00C22537">
              <w:rPr>
                <w:noProof/>
                <w:webHidden/>
              </w:rPr>
              <w:fldChar w:fldCharType="end"/>
            </w:r>
          </w:hyperlink>
        </w:p>
        <w:p w:rsidR="00C22537" w:rsidRDefault="00FE2B48">
          <w:pPr>
            <w:pStyle w:val="Verzeichnis1"/>
            <w:rPr>
              <w:rFonts w:eastAsiaTheme="minorEastAsia"/>
              <w:b w:val="0"/>
              <w:sz w:val="22"/>
              <w:szCs w:val="22"/>
              <w:lang w:eastAsia="de-AT"/>
            </w:rPr>
          </w:pPr>
          <w:hyperlink w:anchor="_Toc406072765" w:history="1">
            <w:r w:rsidR="00C22537" w:rsidRPr="00E310A6">
              <w:rPr>
                <w:rStyle w:val="Hyperlink"/>
              </w:rPr>
              <w:t>Arbeit entlasten, Überfluss besteuern</w:t>
            </w:r>
            <w:r w:rsidR="00C22537">
              <w:rPr>
                <w:webHidden/>
              </w:rPr>
              <w:tab/>
            </w:r>
            <w:r w:rsidR="00C22537">
              <w:rPr>
                <w:webHidden/>
              </w:rPr>
              <w:fldChar w:fldCharType="begin"/>
            </w:r>
            <w:r w:rsidR="00C22537">
              <w:rPr>
                <w:webHidden/>
              </w:rPr>
              <w:instrText xml:space="preserve"> PAGEREF _Toc406072765 \h </w:instrText>
            </w:r>
            <w:r w:rsidR="00C22537">
              <w:rPr>
                <w:webHidden/>
              </w:rPr>
            </w:r>
            <w:r w:rsidR="00C22537">
              <w:rPr>
                <w:webHidden/>
              </w:rPr>
              <w:fldChar w:fldCharType="separate"/>
            </w:r>
            <w:r w:rsidR="00C22537">
              <w:rPr>
                <w:webHidden/>
              </w:rPr>
              <w:t>42</w:t>
            </w:r>
            <w:r w:rsidR="00C22537">
              <w:rPr>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6" w:history="1">
            <w:r w:rsidR="00C22537" w:rsidRPr="00E310A6">
              <w:rPr>
                <w:rStyle w:val="Hyperlink"/>
                <w:noProof/>
              </w:rPr>
              <w:t>Vermögen besteuern</w:t>
            </w:r>
            <w:r w:rsidR="00C22537">
              <w:rPr>
                <w:noProof/>
                <w:webHidden/>
              </w:rPr>
              <w:tab/>
            </w:r>
            <w:r w:rsidR="00C22537">
              <w:rPr>
                <w:noProof/>
                <w:webHidden/>
              </w:rPr>
              <w:fldChar w:fldCharType="begin"/>
            </w:r>
            <w:r w:rsidR="00C22537">
              <w:rPr>
                <w:noProof/>
                <w:webHidden/>
              </w:rPr>
              <w:instrText xml:space="preserve"> PAGEREF _Toc406072766 \h </w:instrText>
            </w:r>
            <w:r w:rsidR="00C22537">
              <w:rPr>
                <w:noProof/>
                <w:webHidden/>
              </w:rPr>
            </w:r>
            <w:r w:rsidR="00C22537">
              <w:rPr>
                <w:noProof/>
                <w:webHidden/>
              </w:rPr>
              <w:fldChar w:fldCharType="separate"/>
            </w:r>
            <w:r w:rsidR="00C22537">
              <w:rPr>
                <w:noProof/>
                <w:webHidden/>
              </w:rPr>
              <w:t>44</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7" w:history="1">
            <w:r w:rsidR="00C22537" w:rsidRPr="00E310A6">
              <w:rPr>
                <w:rStyle w:val="Hyperlink"/>
                <w:noProof/>
              </w:rPr>
              <w:t>Arbeit entlasten! - Spitzeneinkommen gerecht beteiligen</w:t>
            </w:r>
            <w:r w:rsidR="00C22537">
              <w:rPr>
                <w:noProof/>
                <w:webHidden/>
              </w:rPr>
              <w:tab/>
            </w:r>
            <w:r w:rsidR="00C22537">
              <w:rPr>
                <w:noProof/>
                <w:webHidden/>
              </w:rPr>
              <w:fldChar w:fldCharType="begin"/>
            </w:r>
            <w:r w:rsidR="00C22537">
              <w:rPr>
                <w:noProof/>
                <w:webHidden/>
              </w:rPr>
              <w:instrText xml:space="preserve"> PAGEREF _Toc406072767 \h </w:instrText>
            </w:r>
            <w:r w:rsidR="00C22537">
              <w:rPr>
                <w:noProof/>
                <w:webHidden/>
              </w:rPr>
            </w:r>
            <w:r w:rsidR="00C22537">
              <w:rPr>
                <w:noProof/>
                <w:webHidden/>
              </w:rPr>
              <w:fldChar w:fldCharType="separate"/>
            </w:r>
            <w:r w:rsidR="00C22537">
              <w:rPr>
                <w:noProof/>
                <w:webHidden/>
              </w:rPr>
              <w:t>49</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8" w:history="1">
            <w:r w:rsidR="00C22537" w:rsidRPr="00E310A6">
              <w:rPr>
                <w:rStyle w:val="Hyperlink"/>
                <w:noProof/>
              </w:rPr>
              <w:t>Steuerprivilegien für Kapitaleinkommen und Konzerne abschaffen, Steuerflucht beenden</w:t>
            </w:r>
            <w:r w:rsidR="00C22537">
              <w:rPr>
                <w:noProof/>
                <w:webHidden/>
              </w:rPr>
              <w:tab/>
            </w:r>
            <w:r w:rsidR="00C22537">
              <w:rPr>
                <w:noProof/>
                <w:webHidden/>
              </w:rPr>
              <w:fldChar w:fldCharType="begin"/>
            </w:r>
            <w:r w:rsidR="00C22537">
              <w:rPr>
                <w:noProof/>
                <w:webHidden/>
              </w:rPr>
              <w:instrText xml:space="preserve"> PAGEREF _Toc406072768 \h </w:instrText>
            </w:r>
            <w:r w:rsidR="00C22537">
              <w:rPr>
                <w:noProof/>
                <w:webHidden/>
              </w:rPr>
            </w:r>
            <w:r w:rsidR="00C22537">
              <w:rPr>
                <w:noProof/>
                <w:webHidden/>
              </w:rPr>
              <w:fldChar w:fldCharType="separate"/>
            </w:r>
            <w:r w:rsidR="00C22537">
              <w:rPr>
                <w:noProof/>
                <w:webHidden/>
              </w:rPr>
              <w:t>51</w:t>
            </w:r>
            <w:r w:rsidR="00C22537">
              <w:rPr>
                <w:noProof/>
                <w:webHidden/>
              </w:rPr>
              <w:fldChar w:fldCharType="end"/>
            </w:r>
          </w:hyperlink>
        </w:p>
        <w:p w:rsidR="00C22537" w:rsidRDefault="00FE2B48">
          <w:pPr>
            <w:pStyle w:val="Verzeichnis2"/>
            <w:tabs>
              <w:tab w:val="right" w:leader="dot" w:pos="9825"/>
            </w:tabs>
            <w:rPr>
              <w:rFonts w:eastAsiaTheme="minorEastAsia"/>
              <w:noProof/>
              <w:lang w:eastAsia="de-AT"/>
            </w:rPr>
          </w:pPr>
          <w:hyperlink w:anchor="_Toc406072769" w:history="1">
            <w:r w:rsidR="00C22537" w:rsidRPr="00E310A6">
              <w:rPr>
                <w:rStyle w:val="Hyperlink"/>
                <w:noProof/>
              </w:rPr>
              <w:t>Ökosteuern, die der Umwelt nützen</w:t>
            </w:r>
            <w:r w:rsidR="00C22537">
              <w:rPr>
                <w:noProof/>
                <w:webHidden/>
              </w:rPr>
              <w:tab/>
            </w:r>
            <w:r w:rsidR="00C22537">
              <w:rPr>
                <w:noProof/>
                <w:webHidden/>
              </w:rPr>
              <w:fldChar w:fldCharType="begin"/>
            </w:r>
            <w:r w:rsidR="00C22537">
              <w:rPr>
                <w:noProof/>
                <w:webHidden/>
              </w:rPr>
              <w:instrText xml:space="preserve"> PAGEREF _Toc406072769 \h </w:instrText>
            </w:r>
            <w:r w:rsidR="00C22537">
              <w:rPr>
                <w:noProof/>
                <w:webHidden/>
              </w:rPr>
            </w:r>
            <w:r w:rsidR="00C22537">
              <w:rPr>
                <w:noProof/>
                <w:webHidden/>
              </w:rPr>
              <w:fldChar w:fldCharType="separate"/>
            </w:r>
            <w:r w:rsidR="00C22537">
              <w:rPr>
                <w:noProof/>
                <w:webHidden/>
              </w:rPr>
              <w:t>53</w:t>
            </w:r>
            <w:r w:rsidR="00C22537">
              <w:rPr>
                <w:noProof/>
                <w:webHidden/>
              </w:rPr>
              <w:fldChar w:fldCharType="end"/>
            </w:r>
          </w:hyperlink>
        </w:p>
        <w:p w:rsidR="00C22537" w:rsidRDefault="00FE2B48">
          <w:pPr>
            <w:pStyle w:val="Verzeichnis1"/>
            <w:rPr>
              <w:rFonts w:eastAsiaTheme="minorEastAsia"/>
              <w:b w:val="0"/>
              <w:sz w:val="22"/>
              <w:szCs w:val="22"/>
              <w:lang w:eastAsia="de-AT"/>
            </w:rPr>
          </w:pPr>
          <w:hyperlink w:anchor="_Toc406072770" w:history="1">
            <w:r w:rsidR="00C22537" w:rsidRPr="00E310A6">
              <w:rPr>
                <w:rStyle w:val="Hyperlink"/>
              </w:rPr>
              <w:t>Abkürzungsverzeichnis</w:t>
            </w:r>
            <w:r w:rsidR="00C22537">
              <w:rPr>
                <w:webHidden/>
              </w:rPr>
              <w:tab/>
            </w:r>
            <w:r w:rsidR="00C22537">
              <w:rPr>
                <w:webHidden/>
              </w:rPr>
              <w:fldChar w:fldCharType="begin"/>
            </w:r>
            <w:r w:rsidR="00C22537">
              <w:rPr>
                <w:webHidden/>
              </w:rPr>
              <w:instrText xml:space="preserve"> PAGEREF _Toc406072770 \h </w:instrText>
            </w:r>
            <w:r w:rsidR="00C22537">
              <w:rPr>
                <w:webHidden/>
              </w:rPr>
            </w:r>
            <w:r w:rsidR="00C22537">
              <w:rPr>
                <w:webHidden/>
              </w:rPr>
              <w:fldChar w:fldCharType="separate"/>
            </w:r>
            <w:r w:rsidR="00C22537">
              <w:rPr>
                <w:webHidden/>
              </w:rPr>
              <w:t>58</w:t>
            </w:r>
            <w:r w:rsidR="00C22537">
              <w:rPr>
                <w:webHidden/>
              </w:rPr>
              <w:fldChar w:fldCharType="end"/>
            </w:r>
          </w:hyperlink>
        </w:p>
        <w:p w:rsidR="009B5B06" w:rsidRDefault="009B5B06">
          <w:r>
            <w:rPr>
              <w:b/>
              <w:noProof/>
              <w:sz w:val="28"/>
              <w:szCs w:val="28"/>
            </w:rPr>
            <w:fldChar w:fldCharType="end"/>
          </w:r>
        </w:p>
      </w:sdtContent>
    </w:sdt>
    <w:p w:rsidR="00A904B4" w:rsidRDefault="00A904B4" w:rsidP="00A904B4">
      <w:pPr>
        <w:pStyle w:val="ZGBKapitel"/>
        <w:ind w:left="720"/>
        <w:rPr>
          <w:noProof/>
          <w:lang w:eastAsia="de-AT"/>
        </w:rPr>
      </w:pPr>
    </w:p>
    <w:p w:rsidR="00A904B4" w:rsidRDefault="00A904B4" w:rsidP="00A904B4">
      <w:pPr>
        <w:pStyle w:val="ZGBKapitel"/>
        <w:ind w:left="720"/>
        <w:rPr>
          <w:noProof/>
          <w:lang w:eastAsia="de-AT"/>
        </w:rPr>
      </w:pPr>
    </w:p>
    <w:p w:rsidR="00AB1A87" w:rsidRDefault="00AB1A87" w:rsidP="00B66E44">
      <w:pPr>
        <w:pStyle w:val="ZGBAbschnitt"/>
      </w:pPr>
    </w:p>
    <w:p w:rsidR="006036B8" w:rsidRPr="004839F8" w:rsidRDefault="006036B8" w:rsidP="009B5B06">
      <w:pPr>
        <w:pStyle w:val="berschrift1"/>
      </w:pPr>
      <w:bookmarkStart w:id="0" w:name="_Toc406072743"/>
      <w:r w:rsidRPr="004839F8">
        <w:t>Wege aus der Krise: die Allianz</w:t>
      </w:r>
      <w:bookmarkEnd w:id="0"/>
    </w:p>
    <w:p w:rsidR="006036B8" w:rsidRDefault="006036B8" w:rsidP="006036B8">
      <w:pPr>
        <w:pStyle w:val="ZGBKapitel"/>
        <w:rPr>
          <w:noProof/>
          <w:lang w:eastAsia="de-AT"/>
        </w:rPr>
      </w:pPr>
    </w:p>
    <w:p w:rsidR="00B66E44" w:rsidRPr="00B66E44" w:rsidRDefault="00B66E44" w:rsidP="00B66E44">
      <w:pPr>
        <w:pStyle w:val="ZGBKapitel"/>
        <w:rPr>
          <w:rFonts w:cs="MinionPro-Regular"/>
          <w:b w:val="0"/>
          <w:bCs w:val="0"/>
          <w:iCs w:val="0"/>
          <w:color w:val="000000" w:themeColor="text1"/>
          <w:sz w:val="22"/>
          <w:szCs w:val="22"/>
        </w:rPr>
      </w:pPr>
      <w:r w:rsidRPr="00B66E44">
        <w:rPr>
          <w:rFonts w:cs="MinionPro-Regular"/>
          <w:b w:val="0"/>
          <w:bCs w:val="0"/>
          <w:iCs w:val="0"/>
          <w:color w:val="000000" w:themeColor="text1"/>
          <w:sz w:val="22"/>
          <w:szCs w:val="22"/>
        </w:rPr>
        <w:t xml:space="preserve">Die zivilgesellschaftliche Allianz „„Wege aus der Krise““ ist ein Zusammenschluss von elf verschiedenen Gewerkschaften und Nichtregierungsorganisationen (NGOs). Sie entwickelt seit 2010 das „Zivilgesellschaftliche Zukunftsbudget“. Dazu lädt sie auch weitere </w:t>
      </w:r>
      <w:proofErr w:type="spellStart"/>
      <w:r w:rsidRPr="00B66E44">
        <w:rPr>
          <w:rFonts w:cs="MinionPro-Regular"/>
          <w:b w:val="0"/>
          <w:bCs w:val="0"/>
          <w:iCs w:val="0"/>
          <w:color w:val="000000" w:themeColor="text1"/>
          <w:sz w:val="22"/>
          <w:szCs w:val="22"/>
        </w:rPr>
        <w:t>AkteurInnen</w:t>
      </w:r>
      <w:proofErr w:type="spellEnd"/>
      <w:r w:rsidRPr="00B66E44">
        <w:rPr>
          <w:rFonts w:cs="MinionPro-Regular"/>
          <w:b w:val="0"/>
          <w:bCs w:val="0"/>
          <w:iCs w:val="0"/>
          <w:color w:val="000000" w:themeColor="text1"/>
          <w:sz w:val="22"/>
          <w:szCs w:val="22"/>
        </w:rPr>
        <w:t xml:space="preserve"> ein. Das Zivilgesellschaftliche Zukunftsbudget 2015 ist nicht nur der Vorschlag für alternative „Wege aus der Krise“ für das Jahr 2015. Es sind von einem breiten zivilgesellschaftlichen Bündnis getragene Vorschläge für eine sozial gerechte und ökologisch nachhaltige Steuerreform und Zukunftsinvestitionen. Wir stellen damit solidarische, ökologisch nachhaltige und demokratische „Wege aus der Krise“ vor. </w:t>
      </w:r>
    </w:p>
    <w:p w:rsidR="00E575C2" w:rsidRDefault="00B66E44" w:rsidP="00B66E44">
      <w:pPr>
        <w:pStyle w:val="ZGBKapitel"/>
      </w:pPr>
      <w:r w:rsidRPr="00B66E44">
        <w:rPr>
          <w:rFonts w:cs="MinionPro-Regular"/>
          <w:b w:val="0"/>
          <w:bCs w:val="0"/>
          <w:iCs w:val="0"/>
          <w:color w:val="000000" w:themeColor="text1"/>
          <w:sz w:val="22"/>
          <w:szCs w:val="22"/>
        </w:rPr>
        <w:t>Unsere Vision ist ein gutes Leben für alle Menschen – in Österreich, in Europa und der Welt. Das erfordert ein Wirtschaftssystem, das die natürlichen Grenzen anerkennt und respektiert und sich an folgenden Zielen orientiert:</w:t>
      </w:r>
    </w:p>
    <w:p w:rsidR="005C4807" w:rsidRDefault="005C4807" w:rsidP="004839F8">
      <w:pPr>
        <w:rPr>
          <w:b/>
          <w:sz w:val="32"/>
          <w:szCs w:val="32"/>
          <w:u w:val="single"/>
        </w:rPr>
      </w:pPr>
    </w:p>
    <w:p w:rsidR="006036B8" w:rsidRPr="004839F8" w:rsidRDefault="006036B8" w:rsidP="004839F8">
      <w:pPr>
        <w:rPr>
          <w:b/>
          <w:sz w:val="32"/>
          <w:szCs w:val="32"/>
          <w:u w:val="single"/>
        </w:rPr>
      </w:pPr>
      <w:r w:rsidRPr="004839F8">
        <w:rPr>
          <w:b/>
          <w:sz w:val="32"/>
          <w:szCs w:val="32"/>
          <w:u w:val="single"/>
        </w:rPr>
        <w:t>Ziele von Wege aus der Krise</w:t>
      </w:r>
    </w:p>
    <w:p w:rsidR="006036B8" w:rsidRDefault="006036B8" w:rsidP="006036B8">
      <w:pPr>
        <w:pStyle w:val="ZGBKapitel"/>
      </w:pPr>
    </w:p>
    <w:p w:rsidR="006036B8" w:rsidRPr="00E575C2" w:rsidRDefault="006036B8" w:rsidP="006036B8">
      <w:pPr>
        <w:pStyle w:val="ZGBFlietext"/>
        <w:numPr>
          <w:ilvl w:val="0"/>
          <w:numId w:val="3"/>
        </w:numPr>
        <w:jc w:val="left"/>
        <w:rPr>
          <w:sz w:val="28"/>
          <w:szCs w:val="28"/>
        </w:rPr>
      </w:pPr>
      <w:r w:rsidRPr="00E575C2">
        <w:rPr>
          <w:sz w:val="28"/>
          <w:szCs w:val="28"/>
        </w:rPr>
        <w:t>Die Befriedigung von Grundbedürfnissen</w:t>
      </w:r>
      <w:r w:rsidRPr="00E575C2">
        <w:rPr>
          <w:sz w:val="28"/>
          <w:szCs w:val="28"/>
        </w:rPr>
        <w:br/>
      </w:r>
    </w:p>
    <w:p w:rsidR="006036B8" w:rsidRPr="00E575C2" w:rsidRDefault="006036B8" w:rsidP="006036B8">
      <w:pPr>
        <w:pStyle w:val="ZGBFlietext"/>
        <w:numPr>
          <w:ilvl w:val="0"/>
          <w:numId w:val="3"/>
        </w:numPr>
        <w:jc w:val="left"/>
        <w:rPr>
          <w:sz w:val="28"/>
          <w:szCs w:val="28"/>
        </w:rPr>
      </w:pPr>
      <w:r w:rsidRPr="00E575C2">
        <w:rPr>
          <w:sz w:val="28"/>
          <w:szCs w:val="28"/>
        </w:rPr>
        <w:t>die gerechte Verteilung und Bewertung von Arbeit</w:t>
      </w:r>
      <w:r w:rsidRPr="00E575C2">
        <w:rPr>
          <w:sz w:val="28"/>
          <w:szCs w:val="28"/>
        </w:rPr>
        <w:br/>
      </w:r>
    </w:p>
    <w:p w:rsidR="006036B8" w:rsidRPr="00E575C2" w:rsidRDefault="006036B8" w:rsidP="006036B8">
      <w:pPr>
        <w:pStyle w:val="ZGBFlietext"/>
        <w:numPr>
          <w:ilvl w:val="0"/>
          <w:numId w:val="3"/>
        </w:numPr>
        <w:jc w:val="left"/>
        <w:rPr>
          <w:sz w:val="28"/>
          <w:szCs w:val="28"/>
        </w:rPr>
      </w:pPr>
      <w:r w:rsidRPr="00E575C2">
        <w:rPr>
          <w:sz w:val="28"/>
          <w:szCs w:val="28"/>
        </w:rPr>
        <w:t xml:space="preserve">die gerechte Verteilung von </w:t>
      </w:r>
    </w:p>
    <w:p w:rsidR="006036B8" w:rsidRPr="00E575C2" w:rsidRDefault="006036B8" w:rsidP="006036B8">
      <w:pPr>
        <w:pStyle w:val="ZGBFlietext"/>
        <w:numPr>
          <w:ilvl w:val="0"/>
          <w:numId w:val="3"/>
        </w:numPr>
        <w:jc w:val="left"/>
        <w:rPr>
          <w:sz w:val="28"/>
          <w:szCs w:val="28"/>
        </w:rPr>
      </w:pPr>
      <w:r w:rsidRPr="00E575C2">
        <w:rPr>
          <w:sz w:val="28"/>
          <w:szCs w:val="28"/>
        </w:rPr>
        <w:t>Einkommen und Vermögen</w:t>
      </w:r>
      <w:r w:rsidRPr="00E575C2">
        <w:rPr>
          <w:sz w:val="28"/>
          <w:szCs w:val="28"/>
        </w:rPr>
        <w:br/>
      </w:r>
    </w:p>
    <w:p w:rsidR="006036B8" w:rsidRPr="00E575C2" w:rsidRDefault="006036B8" w:rsidP="006036B8">
      <w:pPr>
        <w:pStyle w:val="ZGBFlietext"/>
        <w:numPr>
          <w:ilvl w:val="0"/>
          <w:numId w:val="3"/>
        </w:numPr>
        <w:jc w:val="left"/>
        <w:rPr>
          <w:sz w:val="28"/>
          <w:szCs w:val="28"/>
        </w:rPr>
      </w:pPr>
      <w:r w:rsidRPr="00E575C2">
        <w:rPr>
          <w:sz w:val="28"/>
          <w:szCs w:val="28"/>
        </w:rPr>
        <w:t>globale Solidarität</w:t>
      </w:r>
      <w:r w:rsidRPr="00E575C2">
        <w:rPr>
          <w:sz w:val="28"/>
          <w:szCs w:val="28"/>
        </w:rPr>
        <w:br/>
      </w:r>
    </w:p>
    <w:p w:rsidR="006036B8" w:rsidRPr="00E575C2" w:rsidRDefault="006036B8" w:rsidP="006036B8">
      <w:pPr>
        <w:pStyle w:val="ZGBFlietext"/>
        <w:numPr>
          <w:ilvl w:val="0"/>
          <w:numId w:val="3"/>
        </w:numPr>
        <w:jc w:val="left"/>
        <w:rPr>
          <w:sz w:val="28"/>
          <w:szCs w:val="28"/>
        </w:rPr>
      </w:pPr>
      <w:r w:rsidRPr="00E575C2">
        <w:rPr>
          <w:sz w:val="28"/>
          <w:szCs w:val="28"/>
        </w:rPr>
        <w:t>ökologische Nachhaltigkeit, Ressourcen- und Klimagerechtigkeit</w:t>
      </w:r>
      <w:r w:rsidRPr="00E575C2">
        <w:rPr>
          <w:sz w:val="28"/>
          <w:szCs w:val="28"/>
        </w:rPr>
        <w:br/>
      </w:r>
    </w:p>
    <w:p w:rsidR="006036B8" w:rsidRPr="00E575C2" w:rsidRDefault="006036B8" w:rsidP="006036B8">
      <w:pPr>
        <w:pStyle w:val="ZGBFlietext"/>
        <w:numPr>
          <w:ilvl w:val="0"/>
          <w:numId w:val="3"/>
        </w:numPr>
        <w:jc w:val="left"/>
        <w:rPr>
          <w:sz w:val="28"/>
          <w:szCs w:val="28"/>
        </w:rPr>
      </w:pPr>
      <w:r w:rsidRPr="00E575C2">
        <w:rPr>
          <w:sz w:val="28"/>
          <w:szCs w:val="28"/>
        </w:rPr>
        <w:t>eine Demokratie, die allen gleiche Teilhabechancen und Mitbestimmungsrechte garantiert</w:t>
      </w:r>
    </w:p>
    <w:p w:rsidR="00E575C2" w:rsidRDefault="00E575C2" w:rsidP="00E575C2">
      <w:pPr>
        <w:pStyle w:val="ZGBKapitel"/>
      </w:pPr>
    </w:p>
    <w:p w:rsidR="00677ECF" w:rsidRDefault="00677ECF" w:rsidP="00E575C2">
      <w:pPr>
        <w:pStyle w:val="ZGBKapitel"/>
      </w:pPr>
    </w:p>
    <w:p w:rsidR="00E575C2" w:rsidRPr="00FE2B48" w:rsidRDefault="006036B8" w:rsidP="00FE2B48">
      <w:pPr>
        <w:rPr>
          <w:b/>
          <w:sz w:val="32"/>
          <w:szCs w:val="32"/>
          <w:u w:val="single"/>
        </w:rPr>
      </w:pPr>
      <w:r w:rsidRPr="004839F8">
        <w:rPr>
          <w:b/>
          <w:sz w:val="32"/>
          <w:szCs w:val="32"/>
          <w:u w:val="single"/>
        </w:rPr>
        <w:t>Die Allianz besteht aus:</w:t>
      </w:r>
    </w:p>
    <w:p w:rsidR="00E575C2" w:rsidRDefault="006036B8" w:rsidP="00E575C2">
      <w:pPr>
        <w:pStyle w:val="ZGBFlietext"/>
      </w:pPr>
      <w:proofErr w:type="spellStart"/>
      <w:r w:rsidRPr="006036B8">
        <w:t>Attac</w:t>
      </w:r>
      <w:proofErr w:type="spellEnd"/>
      <w:r w:rsidRPr="006036B8">
        <w:t xml:space="preserve"> Österreich, Die Armutskonferenz, </w:t>
      </w:r>
      <w:proofErr w:type="spellStart"/>
      <w:r w:rsidRPr="006036B8">
        <w:t>GdG-KMSfB</w:t>
      </w:r>
      <w:proofErr w:type="spellEnd"/>
      <w:r w:rsidRPr="006036B8">
        <w:t>, GLOBAL 2000, G</w:t>
      </w:r>
      <w:r w:rsidR="00E575C2">
        <w:t>PA-</w:t>
      </w:r>
      <w:proofErr w:type="spellStart"/>
      <w:r w:rsidR="00E575C2">
        <w:t>djp</w:t>
      </w:r>
      <w:proofErr w:type="spellEnd"/>
      <w:r w:rsidR="00E575C2">
        <w:t xml:space="preserve">, Greenpeace, Katholische </w:t>
      </w:r>
      <w:proofErr w:type="spellStart"/>
      <w:r w:rsidRPr="006036B8">
        <w:t>ArbeitnehmerInnen</w:t>
      </w:r>
      <w:proofErr w:type="spellEnd"/>
      <w:r w:rsidRPr="006036B8">
        <w:t xml:space="preserve"> Bewegung Österreich, ÖH - Österreichische </w:t>
      </w:r>
      <w:proofErr w:type="spellStart"/>
      <w:r w:rsidRPr="006036B8">
        <w:t>HochschülerInnenschaft</w:t>
      </w:r>
      <w:proofErr w:type="spellEnd"/>
      <w:r w:rsidRPr="006036B8">
        <w:t xml:space="preserve"> Bundesvertretung, </w:t>
      </w:r>
      <w:r w:rsidR="00E575C2">
        <w:t xml:space="preserve"> </w:t>
      </w:r>
    </w:p>
    <w:p w:rsidR="006036B8" w:rsidRPr="00E575C2" w:rsidRDefault="006036B8" w:rsidP="00E575C2">
      <w:pPr>
        <w:pStyle w:val="ZGBFlietext"/>
      </w:pPr>
      <w:r w:rsidRPr="006036B8">
        <w:t>PRO-GE, die Produktionsgewerkschaft, SOS Mitmensch, VIDA - die Lebensgewerkschaft</w:t>
      </w:r>
    </w:p>
    <w:p w:rsidR="00FE2B48" w:rsidRDefault="00FE2B48" w:rsidP="00E575C2">
      <w:pPr>
        <w:pStyle w:val="ZGBFlietext"/>
      </w:pPr>
    </w:p>
    <w:p w:rsidR="006036B8" w:rsidRPr="00E575C2" w:rsidRDefault="006036B8" w:rsidP="00E575C2">
      <w:pPr>
        <w:pStyle w:val="ZGBFlietext"/>
      </w:pPr>
      <w:r w:rsidRPr="00E575C2">
        <w:t>Sie finden uns online unter www.wege-aus-der-krise.at</w:t>
      </w:r>
    </w:p>
    <w:p w:rsidR="006036B8" w:rsidRPr="00E575C2" w:rsidRDefault="006036B8" w:rsidP="00E575C2">
      <w:pPr>
        <w:pStyle w:val="ZGBFlietext"/>
      </w:pPr>
      <w:r w:rsidRPr="00E575C2">
        <w:t xml:space="preserve">sowie auf </w:t>
      </w:r>
      <w:proofErr w:type="spellStart"/>
      <w:r w:rsidRPr="00E575C2">
        <w:t>facebook</w:t>
      </w:r>
      <w:proofErr w:type="spellEnd"/>
      <w:r w:rsidRPr="00E575C2">
        <w:t>: http://www.facebook.com/wege.aus.der.krise</w:t>
      </w:r>
    </w:p>
    <w:p w:rsidR="00583AAD" w:rsidRDefault="006036B8" w:rsidP="00E575C2">
      <w:pPr>
        <w:pStyle w:val="ZGBFlietext"/>
      </w:pPr>
      <w:r w:rsidRPr="00E575C2">
        <w:t xml:space="preserve">Kontakt: </w:t>
      </w:r>
      <w:hyperlink r:id="rId10" w:history="1">
        <w:r w:rsidR="00583AAD" w:rsidRPr="005374BF">
          <w:rPr>
            <w:rStyle w:val="Hyperlink"/>
          </w:rPr>
          <w:t>infos@wege-aus-der-krise.at</w:t>
        </w:r>
      </w:hyperlink>
    </w:p>
    <w:p w:rsidR="005C4807" w:rsidRDefault="005C4807" w:rsidP="00AB1A87">
      <w:pPr>
        <w:pStyle w:val="berschrift1"/>
      </w:pPr>
      <w:bookmarkStart w:id="1" w:name="_Toc406072744"/>
      <w:r w:rsidRPr="00AB1A87">
        <w:lastRenderedPageBreak/>
        <w:t>Vorwort</w:t>
      </w:r>
      <w:bookmarkEnd w:id="1"/>
    </w:p>
    <w:p w:rsidR="005C4807" w:rsidRDefault="005C4807" w:rsidP="005C4807">
      <w:pPr>
        <w:rPr>
          <w:lang w:val="de-DE"/>
        </w:rPr>
      </w:pPr>
    </w:p>
    <w:p w:rsidR="00AB1A87" w:rsidRDefault="005C4807" w:rsidP="00AB1A87">
      <w:pPr>
        <w:rPr>
          <w:lang w:val="de-DE"/>
        </w:rPr>
      </w:pPr>
      <w:r w:rsidRPr="005C4807">
        <w:rPr>
          <w:lang w:val="de-DE"/>
        </w:rPr>
        <w:t xml:space="preserve">Seit 2010 legt die Allianz „Wege aus der Krise“ nun das Zivilgesellschaftliche Zukunftsbudget vor.  Nach der Gewerkschaft Bau Holz, der Plattform 20.000 Frauen, der Arbeitsgemeinschaft Globale Verantwortung und dem Neunerhaus sind 2014 nun auch die Interessensgemeinschaft Kultur und der Beirat für gesellschafts-, wirtschafts- und umweltpolitische Alternativen (BEIGEWUM) als Kooperationspartner bei der Erstellung des Zukunftsbudgets dazu gestoßen. Einige unserer Vorschläge wurden bereits umgesetzt. Im Kapitel „unsere Erfolgsbilanz“ stellen wir diese vor. Aber das ist noch viel zu wenig für eine Umgestaltung des öffentlichen Budgets. </w:t>
      </w:r>
      <w:r w:rsidR="00C22537">
        <w:rPr>
          <w:lang w:val="de-DE"/>
        </w:rPr>
        <w:br/>
      </w:r>
      <w:r w:rsidRPr="005C4807">
        <w:rPr>
          <w:lang w:val="de-DE"/>
        </w:rPr>
        <w:t xml:space="preserve">Das Zivilgesellschaftliche Zukunftsbudget 2015 erscheint mitten in der Auseinandersetzung um eine Steuerreform. Wir präsentieren ein Gesamtkonzept, welches die steuerliche Entlastung von Arbeit ebenso berücksichtigt wie die Notwendigkeit öffentlicher Investitionen zur Schaffung von Arbeitsplätzen. Unser Budget macht sichtbar, dass es solidarische „Wege aus der Krise“ und in die Zukunft und somit Alternativen zur Kürzungspolitik gibt. Diese sind mehr als notwendig, denn die Bilanz der EU-weit konzertierten Kürzungspolitik ist fatal: Immer mehr EU-Länder schlittern in die Rezession. Das bleibt nicht ohne Wirkung für Österreich: die Wirtschaftsprognosen für 2014 wurden bereits nach unten korrigiert und die Zahl der Arbeitslosen steigt kontinuierlich an. Zum Zeitpunkt des Erscheinens dieser Ausgabe des Budgets (November 2014) waren 390.000 Menschen (inklusive </w:t>
      </w:r>
      <w:proofErr w:type="spellStart"/>
      <w:r w:rsidRPr="005C4807">
        <w:rPr>
          <w:lang w:val="de-DE"/>
        </w:rPr>
        <w:t>SchulungsteilnehmerInnen</w:t>
      </w:r>
      <w:proofErr w:type="spellEnd"/>
      <w:r w:rsidRPr="005C4807">
        <w:rPr>
          <w:lang w:val="de-DE"/>
        </w:rPr>
        <w:t xml:space="preserve">) arbeitslos. In der Folge steigen auch die öffentlichen Ausgaben und die Einnahmen sinken. Der viel beklagte „Schuldenberg“ wird so erst recht erhöht. Anstatt die EU-weit konzertierte Kürzungspolitik zu beenden, wird seitens der Politik an diesem Weg festgehalten. Damit einher geht der Druck öffentliche Dienstleistungen zu privatisieren. </w:t>
      </w:r>
      <w:r w:rsidR="00C22537">
        <w:rPr>
          <w:lang w:val="de-DE"/>
        </w:rPr>
        <w:br/>
      </w:r>
      <w:r w:rsidRPr="005C4807">
        <w:rPr>
          <w:lang w:val="de-DE"/>
        </w:rPr>
        <w:t xml:space="preserve">Das Zivilgesellschaftliche Zukunftsbudget dagegen zeigt, wie es anders geht. Mehr als 160.000 Arbeitsplätze können mit einem Investitionsvolumen von rund 6 Mrd. Euro rasch geschaffen werden. Zum Vergleich: die Kosten für die Bankenrettung in Österreich belaufen sich bisher auf knapp 14 Mrd. Euro (inklusive Haftungen). Die Arbeitsplätze, die mit unseren Vorschlägen geschaffen werden, sind zudem eine Antwort auf die ökologische Krise. Arbeitszeitverkürzung bei vollem Lohnausgleich und öffentliche Investitionen in Bildung, öffentlichen Verkehr, Energiewende, Pflege oder Kultur sind Teil einer ökologischen Arbeitsmarktpolitik. Das alles ist mit Steuern auf große Vermögen, der Abschaffung von Steuerprivilegien für Kapitaleinkommen und Konzerne, der Bekämpfung und Beendigung von Steuerflucht und -vermeidung sowie einer </w:t>
      </w:r>
      <w:proofErr w:type="spellStart"/>
      <w:r w:rsidRPr="005C4807">
        <w:rPr>
          <w:lang w:val="de-DE"/>
        </w:rPr>
        <w:t>Ökologisierung</w:t>
      </w:r>
      <w:proofErr w:type="spellEnd"/>
      <w:r w:rsidRPr="005C4807">
        <w:rPr>
          <w:lang w:val="de-DE"/>
        </w:rPr>
        <w:t xml:space="preserve"> des Steuersystems möglich, ebenso wie die steuerliche Entlastung des Faktors Arbeit. </w:t>
      </w:r>
      <w:r w:rsidR="00C22537">
        <w:rPr>
          <w:lang w:val="de-DE"/>
        </w:rPr>
        <w:br/>
      </w:r>
      <w:r w:rsidRPr="005C4807">
        <w:rPr>
          <w:lang w:val="de-DE"/>
        </w:rPr>
        <w:t>Erstmals haben wir die gesamtwirtschaftliche Wirkung unserer Vorschläge auf das Budget berechnet. Damit wird sichtbar: mit unserem Zukunftsbudget steigen die öffentlichen Einnahmen und sinken die Ausgaben, weil wieder mehr Menschen Arbeit haben. Das ermöglicht auch eine geringere Neuverschuldung.</w:t>
      </w:r>
      <w:r w:rsidR="00C22537">
        <w:rPr>
          <w:lang w:val="de-DE"/>
        </w:rPr>
        <w:br/>
      </w:r>
      <w:r w:rsidRPr="005C4807">
        <w:rPr>
          <w:lang w:val="de-DE"/>
        </w:rPr>
        <w:t xml:space="preserve">Im Kapitel „In die Zukunft investieren“ finden sich jene Maßnahmen und Investitionen, für die es aus unserer Sicht mehr Geld als derzeit im Bundesbudget vorgesehen geben muss. Es enthält auch Vorschläge wie durch Reformen vorhandene Budgetmittel besser eingesetzt werden können. Unsere Vorschläge verstehen sich als zusätzliche Ausgaben und Einnahmen zum laufenden Budget der Bundesregierung. Für 2015 haben wir das Kapitel "Arbeit gerecht verteilen" grundlegend überarbeitet. Neu hinzugekommen ist das Kapitel „Kunst und Kultur für alle“. </w:t>
      </w:r>
      <w:r w:rsidR="00C22537">
        <w:rPr>
          <w:lang w:val="de-DE"/>
        </w:rPr>
        <w:br/>
      </w:r>
      <w:r w:rsidRPr="005C4807">
        <w:rPr>
          <w:lang w:val="de-DE"/>
        </w:rPr>
        <w:t>Im Kapitel „Überfluss besteuern“ zeigen wir auf, wie unser Steuersystem sozial gerechter und ökologisch nachhaltiger werden kann und wie Zukunftsinvestitionen finanzierbar sind. Das Kapitel „Arbeit entlasten“ wurde ergänzt und auch Vorschläge zur Einschränkung von Steuerhinterziehung und –</w:t>
      </w:r>
      <w:proofErr w:type="spellStart"/>
      <w:r w:rsidRPr="005C4807">
        <w:rPr>
          <w:lang w:val="de-DE"/>
        </w:rPr>
        <w:t>vermeidung</w:t>
      </w:r>
      <w:proofErr w:type="spellEnd"/>
      <w:r w:rsidRPr="005C4807">
        <w:rPr>
          <w:lang w:val="de-DE"/>
        </w:rPr>
        <w:t xml:space="preserve"> wurden integriert.</w:t>
      </w:r>
    </w:p>
    <w:p w:rsidR="00AB1A87" w:rsidRDefault="00AB1A87" w:rsidP="00AB1A87">
      <w:pPr>
        <w:rPr>
          <w:lang w:val="de-DE"/>
        </w:rPr>
      </w:pPr>
    </w:p>
    <w:p w:rsidR="00583AAD" w:rsidRPr="00AB1A87" w:rsidRDefault="00583AAD" w:rsidP="00AB1A87">
      <w:pPr>
        <w:pStyle w:val="berschrift1"/>
      </w:pPr>
      <w:bookmarkStart w:id="2" w:name="_Toc406072745"/>
      <w:r w:rsidRPr="00BC78E2">
        <w:lastRenderedPageBreak/>
        <w:t>Das Budget geht uns alle an!</w:t>
      </w:r>
      <w:bookmarkEnd w:id="2"/>
    </w:p>
    <w:p w:rsidR="005C4807" w:rsidRPr="005C4807" w:rsidRDefault="005C4807" w:rsidP="005C4807">
      <w:pPr>
        <w:rPr>
          <w:lang w:val="de-DE"/>
        </w:rPr>
      </w:pPr>
    </w:p>
    <w:p w:rsidR="00917F05" w:rsidRPr="00583AAD" w:rsidRDefault="00583AAD" w:rsidP="00AB1A87">
      <w:pPr>
        <w:pStyle w:val="berschrift2"/>
      </w:pPr>
      <w:bookmarkStart w:id="3" w:name="_Toc406072746"/>
      <w:r w:rsidRPr="00583AAD">
        <w:t>Das öffentliche Budget ist in Zahlen gegossene Politik</w:t>
      </w:r>
      <w:bookmarkEnd w:id="3"/>
    </w:p>
    <w:p w:rsidR="00583AAD" w:rsidRDefault="00583AAD" w:rsidP="00583AAD">
      <w:pPr>
        <w:pStyle w:val="ZGBFlietext"/>
      </w:pPr>
    </w:p>
    <w:p w:rsidR="005C4807" w:rsidRDefault="005C4807" w:rsidP="005C4807">
      <w:pPr>
        <w:pStyle w:val="ZGBFlietext"/>
      </w:pPr>
      <w:r>
        <w:t>Das öffentliche Budget gehört uns allen. Es ist die Konkretisierung der geplanten Aktivitäten einer Regierung und somit in Zahlen gegossene Politik. Wofür öffentliche Gelder ausgegeben werden und wer in welchem Ausmaß besteuert wird, bestimmt letztlich, wie sozial gerecht, wie umverteilend und ökologisch nachhaltig Budgetpolitik ist. Auf der Einnahmenseite geht es um Steuergerechtigkeit. Die Steuerlast muss angemessen auf die verschiedenen Gesellschaftsgruppen verteilt werden: Jene, die weitaus mehr besitzen, sollen auch weitaus mehr zur Finanzierung gesellschaftlicher Aufgaben beitragen. Die Ausgestaltung der Steuern ist auch Gesellschaftspolitik, da sie bestimmte Lebensmodelle mehr oder weniger unterstützt. Auf der Ausgabenseite wiederum geht es um die Frage, welche Gesellschaft wir wollen, denn Finanzmittel sind notwendig um z. B. Maßnahmen der Gleichstellungspolitik wie etwa flächendeckende Betreuungseinrichtungen für Kinder zu finanzieren. Welche Investitionen in die Zukunft erachten wir also für wichtig? Wie wollen wir vor dem Hintergrund von Klimawandel und steigenden Erdölpreisen leistbare Mobilität für alle sicherstellen? Welches Gesundheitssystem und welche Bildung wollen wir? Wie können wir leistbares Wohnen für alle Menschen organisieren? Es geht also um politische Prioritätensetzungen und um Weichenstellungen für die Zukunft.</w:t>
      </w:r>
    </w:p>
    <w:p w:rsidR="005C4807" w:rsidRDefault="005C4807" w:rsidP="005C4807">
      <w:pPr>
        <w:pStyle w:val="ZGBFlietext"/>
      </w:pPr>
    </w:p>
    <w:p w:rsidR="005C4807" w:rsidRDefault="005C4807" w:rsidP="005C4807">
      <w:pPr>
        <w:pStyle w:val="ZGBFlietext"/>
      </w:pPr>
      <w:r>
        <w:t xml:space="preserve">Das öffentliche Budget ist somit ein wichtiges Feld der politischen Auseinandersetzung, wo unterschiedliche Gruppen um die Durchsetzung ihrer Interessen kämpfen. Ob Vermögen besteuert werden oder die Mehrwertsteuer erhöht wird, ob es mehr Geld für Bildung und Pflege, für öffentlichen Wohnbau und öffentlichen Verkehr oder für den Ausbau von Straßen gibt – all das sind Fragen, die für alle Menschen einer Gesellschaft relevant sind, nicht nur für jene, die über das öffentliche Budget formal entscheiden. </w:t>
      </w:r>
    </w:p>
    <w:p w:rsidR="005C4807" w:rsidRDefault="005C4807" w:rsidP="005C4807">
      <w:pPr>
        <w:pStyle w:val="ZGBFlietext"/>
      </w:pPr>
    </w:p>
    <w:p w:rsidR="005C4807" w:rsidRDefault="005C4807" w:rsidP="005C4807">
      <w:pPr>
        <w:pStyle w:val="ZGBFlietext"/>
      </w:pPr>
      <w:r>
        <w:t xml:space="preserve">Die Auseinandersetzung mit dem öffentlichen Budget ist daher eine Auseinandersetzung mit Gerechtigkeits- und Zukunftsfragen. Die Trägerorganisationen der zivilgesellschaftliche Allianz „„Wege aus der Krise““ und jene Organisationen, die mit uns gemeinsam das zivilgesellschaftliche Zukunftsbudget erstellt haben, meinen, dass ein Budget viel zu wichtig ist, um es allein der Regierung und den Nationalratsabgeordneten zu überlassen. </w:t>
      </w:r>
    </w:p>
    <w:p w:rsidR="00583AAD" w:rsidRPr="00583AAD" w:rsidRDefault="005C4807" w:rsidP="005C4807">
      <w:pPr>
        <w:pStyle w:val="ZGBFlietext"/>
      </w:pPr>
      <w:r>
        <w:t>Mit dem Zivilgesellschaftlichen Zukunftsbudget zeigen wir solidarische „Wege aus der Krise“ auf – nicht als Utopie, sondern mit ganz konkreten Vorschlägen, die im Hier und Jetzt umgesetzt werden können. Unter dem Motto „Ein gutes Leben für alle! Überfluss besteuern – in die Zukunft investieren“ präsentieren wir Lösungen, die sozial- und geschlechtergerecht, ökologisch nachhaltig und demokratiefördernd sind.</w:t>
      </w:r>
    </w:p>
    <w:p w:rsidR="00583AAD" w:rsidRPr="00583AAD" w:rsidRDefault="00583AAD" w:rsidP="00583AAD">
      <w:pPr>
        <w:pStyle w:val="ZGBFlietext"/>
      </w:pPr>
    </w:p>
    <w:p w:rsidR="005C4807" w:rsidRDefault="005C4807" w:rsidP="00BC78E2">
      <w:pPr>
        <w:pStyle w:val="ZGBManahme"/>
      </w:pPr>
      <w:r w:rsidRPr="005C4807">
        <w:t>Wer erstellt und entscheidet über das österreichische Budget?</w:t>
      </w:r>
    </w:p>
    <w:p w:rsidR="005C4807" w:rsidRPr="005C4807" w:rsidRDefault="005C4807" w:rsidP="005C4807">
      <w:pPr>
        <w:rPr>
          <w:b/>
          <w:bCs/>
        </w:rPr>
      </w:pPr>
      <w:r w:rsidRPr="005C4807">
        <w:t xml:space="preserve">Der jährliche Budgetprozess besteht auf Bundesebene aus zwei Teilen. Im Frühjahr wird ein mehrjähriger Finanzrahmen für vier Jahre im Voraus beschlossen, der die Ausgabenobergrenzen festlegt. Ein dementsprechendes Papier (das Stabilitätsprogramm) wird auch zur Europäischen Kommission nach Brüssel gesandt und dort auf die Vereinbarkeit mit den europäischen Regeln geprüft (siehe Europäisches Semester). Zweimal im Jahr übermittelt die Statistik Austria überdies die von ihr ermittelten gesamtstaatlichen Budgeteckwerte als Zusatzinformation an die Europäische Kommission. Im Herbst wird von dem oder der </w:t>
      </w:r>
      <w:proofErr w:type="spellStart"/>
      <w:r w:rsidRPr="005C4807">
        <w:t>FinanzministerIn</w:t>
      </w:r>
      <w:proofErr w:type="spellEnd"/>
      <w:r w:rsidRPr="005C4807">
        <w:t xml:space="preserve"> nach Verhandlungen mit allen </w:t>
      </w:r>
      <w:proofErr w:type="spellStart"/>
      <w:r w:rsidRPr="005C4807">
        <w:t>BereichsministerInnen</w:t>
      </w:r>
      <w:proofErr w:type="spellEnd"/>
      <w:r w:rsidRPr="005C4807">
        <w:t xml:space="preserve"> zuerst dem Ministerrat und dann dem Parlament ein Budgetentwurf vorgelegt. Auch hier muss mittlerweile vorab ein Dokument mit den vorläufigen Budgeteckpunkten zur Prüfung an die Europäische Kommission gesandt werden. Je nachdem, wie weit das Budget vom angestrebten längerfristigen Budgetpfad abweicht, kann die Europäische Kommission eingreifen und Änderungen empfehlen oder verlangen. Die formale Abstimmung über das Bundesbudget erfolgt durch die Abgeordneten zum Nationalrat. Auf die Budgetrede des Finanzministers oder der Finanzministerien (üblicherweise im Oktober) folgt ein Diskussionsprozess über das Budget in den parlamentarischen Ausschüssen. Im Budgetausschuss laden die verschiedenen Parteien </w:t>
      </w:r>
      <w:proofErr w:type="spellStart"/>
      <w:r w:rsidRPr="005C4807">
        <w:t>ExpertInnen</w:t>
      </w:r>
      <w:proofErr w:type="spellEnd"/>
      <w:r w:rsidRPr="005C4807">
        <w:t xml:space="preserve"> zur Bewertung des vorgelegten Budgets vor. </w:t>
      </w:r>
      <w:proofErr w:type="spellStart"/>
      <w:r w:rsidRPr="005C4807">
        <w:t>VertreterInnen</w:t>
      </w:r>
      <w:proofErr w:type="spellEnd"/>
      <w:r w:rsidRPr="005C4807">
        <w:t xml:space="preserve"> der Zivilgesellschaft werden kaum eingeladen. Das Budgethearing an </w:t>
      </w:r>
      <w:r w:rsidRPr="005C4807">
        <w:lastRenderedPageBreak/>
        <w:t xml:space="preserve">sich ist öffentlich, der Budgetausschuss selbst generell aber nicht. Nach zwei weiteren Debatten im gesamten Nationalrat wird über den Budgetentwurf abgestimmt. Die Nationalratsabgeordneten der jeweiligen Regierungsmehrheit stimmen dem Bundesvoranschlag meist mit kleinen Änderungen zu. Das ist in vielen anderen Staaten keineswegs so. In Schweden, Deutschland oder den USA hat das Parlament bei der Erstellung des Budgets eine viel aktivere Rolle. Um gesamtstaatlich die europäischen Erfordernisse zu erfüllen, wurden im Österreichischen Stabilitätspakt Zielvorgaben zwischen Bund, Ländern und Gemeinden vereinbart.  Die starke Fokussierung auf Budgetdisziplin durch das "Europäische Semester" fordert einen hohen gesamtgesellschaftlichen Tribut. Denn die extreme Regelbindung des Budgetprozesses folgt einer neoliberalen Intention, nach der die Politik „nicht in Versuchung kommt“ auf die Forderungen der </w:t>
      </w:r>
      <w:proofErr w:type="spellStart"/>
      <w:r w:rsidRPr="005C4807">
        <w:t>BürgerInnen</w:t>
      </w:r>
      <w:proofErr w:type="spellEnd"/>
      <w:r w:rsidRPr="005C4807">
        <w:t>, einzugehen. Das macht Bemühungen Budgetprozesse partizipativer bzw. demokratischer zu gestalten schwieriger.</w:t>
      </w:r>
    </w:p>
    <w:p w:rsidR="00BE541B" w:rsidRDefault="005C4807" w:rsidP="005C4807">
      <w:pPr>
        <w:pStyle w:val="ZGBManahme"/>
      </w:pPr>
      <w:r w:rsidRPr="005C4807">
        <w:t>Das „Europäische Semester“</w:t>
      </w:r>
    </w:p>
    <w:p w:rsidR="005C4807" w:rsidRDefault="005C4807" w:rsidP="005C4807">
      <w:r w:rsidRPr="005C4807">
        <w:t xml:space="preserve">Das „Europäische Semester für die Koordinierung der Wirtschaftspolitik“ wurde 2011 im Rahmen der Europa-2020-Strategie eingeführt und greift in den nationalen Budgeterstellungsprozess ein. Es entstand auf Vorschlag der Europäischen Kommission und besteht aus einer festen Abfolge. Im Januar wird von der Europäischen Kommission der Jahreswachstumsbericht vorgestellt. Dieser analysiert jährlich die wirtschaftliche Lage der gesamten EU sowie der einzelnen Mitgliedstaaten. Im März einigt sich der Europäische Rat auf die wichtigsten Maßnahmen. Bis April müssen die Mitgliedstaaten ihre Stabilitäts- bzw. Konvergenzprogramme zu ihren nationalen Haushalten vorlegen. Diese dienen als Grundlage für die länderspezifischen Empfehlungen, welche von der Kommission bis Juni für jeden einzelnen Mitgliedstaat erarbeitet und vorgestellt werden – sie werden dem ECOFIN-Rat (Rat der </w:t>
      </w:r>
      <w:proofErr w:type="spellStart"/>
      <w:r w:rsidRPr="005C4807">
        <w:t>FinanzministerInnen</w:t>
      </w:r>
      <w:proofErr w:type="spellEnd"/>
      <w:r w:rsidRPr="005C4807">
        <w:t xml:space="preserve">) und dem Europäischen Rat zum Beschluss vorgelegt. Anfang Juli veröffentlicht der Europäische Rat die länderspezifischen Empfehlungen. Diese Empfehlungen enthalten vor allem Vorschläge für sogenannte „Strukturreformen“, wie beispielsweise Lohn- und Pensionskürzungen, längere Arbeitszeiten, Privatisierungen, Kürzungen im Sozialbereich und dem Gesundheitssystem. Im Herbst müssen die Mitgliedstaaten dann eine Budgetvorschau mit den Eckpunkten für das kommende Jahr vorlegen. Eurozone-Staaten hingegen müssen, wenn sie im Defizitverfahren sind, Wirtschaftspartnerschaftsprogramme mit detaillierten Umsetzungsmaßnahmen vorlegen. Der Jahreswachstumsbericht des Folgejahres evaluiert, ob und inwiefern die länderspezifischen Empfehlungen von den Mitgliedstaaten einbezogen wurden. Die Europäische Kommission  kann Sanktionen und Geldstrafen gegen Mitgliedstaaten erlassen, wenn die Budgetwerte und Maßnahmen nicht den Regeln und Empfehlungen der Kommission entsprechen und je nachdem wie stark die Budgetdefizite von den Vorgaben abweichen. Damit wird der Budgeterstellungsprozess immer mehr ins Gegenteil verkehrt: denn obwohl Abgeordnete nationaler Parlamente noch immer formal die Budgets ihrer Länder beschließen, ist das Mitsprache- und Mitwirkungsrecht einer nicht-demokratisch legitimierten Institution - der Europäischen Kommission  - darüber wie Budgets saniert werden bzw. wofür öffentliche Gelder ausgegeben werden, stark gewachsen. Offen bleibt, wer die neuen Kontrolleure und ihre Entscheidungsmacht kontrolliert.  </w:t>
      </w:r>
    </w:p>
    <w:p w:rsidR="00583AAD" w:rsidRDefault="00583AAD" w:rsidP="00583AAD">
      <w:pPr>
        <w:pStyle w:val="ZGBFlietext"/>
      </w:pPr>
    </w:p>
    <w:p w:rsidR="005C4807" w:rsidRDefault="00637CCF" w:rsidP="00AB1A87">
      <w:pPr>
        <w:pStyle w:val="berschrift2"/>
      </w:pPr>
      <w:bookmarkStart w:id="4" w:name="_Toc406072747"/>
      <w:r>
        <w:t>Ein anderes Budget ist nötig</w:t>
      </w:r>
      <w:bookmarkEnd w:id="4"/>
    </w:p>
    <w:p w:rsidR="00637CCF" w:rsidRDefault="00637CCF" w:rsidP="004839F8">
      <w:pPr>
        <w:pStyle w:val="ZGBEinleitung"/>
      </w:pPr>
    </w:p>
    <w:p w:rsidR="00BE541B" w:rsidRPr="00637CCF" w:rsidRDefault="00BE541B" w:rsidP="00637CCF">
      <w:pPr>
        <w:pStyle w:val="ZGBEinleitung"/>
      </w:pPr>
      <w:r w:rsidRPr="00637CCF">
        <w:t>Aus unserer Sicht en</w:t>
      </w:r>
      <w:r w:rsidR="006738E5" w:rsidRPr="00637CCF">
        <w:t>t</w:t>
      </w:r>
      <w:r w:rsidRPr="00637CCF">
        <w:t>spricht das österreichische Budget an vielen Stellen nicht den  Kriterien sozial gerecht, ökologisch nachhaltig, geschlechtergerecht, demokratiefördernd und zukunftsfähig.</w:t>
      </w:r>
    </w:p>
    <w:p w:rsidR="00BE541B" w:rsidRPr="00583AAD" w:rsidRDefault="00BE541B" w:rsidP="00BE541B">
      <w:pPr>
        <w:pStyle w:val="ZGBEinleitung"/>
      </w:pPr>
    </w:p>
    <w:p w:rsidR="00BE541B" w:rsidRPr="00BE541B" w:rsidRDefault="00BE541B" w:rsidP="005A5AB7">
      <w:pPr>
        <w:pStyle w:val="ZGBManahme"/>
      </w:pPr>
      <w:r w:rsidRPr="00BE541B">
        <w:t xml:space="preserve">Das österreichische Budget sieht zu </w:t>
      </w:r>
      <w:proofErr w:type="gramStart"/>
      <w:r w:rsidRPr="00BE541B">
        <w:t>wenig</w:t>
      </w:r>
      <w:proofErr w:type="gramEnd"/>
      <w:r w:rsidRPr="00BE541B">
        <w:t xml:space="preserve"> Investitionen für die Zukunft vor</w:t>
      </w:r>
    </w:p>
    <w:p w:rsidR="00BE541B" w:rsidRDefault="00637CCF" w:rsidP="00BE541B">
      <w:pPr>
        <w:pStyle w:val="ZGBFlietext"/>
      </w:pPr>
      <w:r w:rsidRPr="00637CCF">
        <w:t xml:space="preserve">Was wir jetzt mehr denn je brauchen, sind Zukunftsinvestitionen – vor allem in Bildung, Gesundheit und Pflege, nachhaltige Energieformen, thermische Sanierung, den Ausbau des öffentlichen Verkehrs, in die Erhaltung und Verbesserung einer qualitativ hochwertigen kommunalen Grundversorgung , Kultur sowie in </w:t>
      </w:r>
      <w:r w:rsidRPr="00637CCF">
        <w:lastRenderedPageBreak/>
        <w:t>die Stärkung von Demokratie und Menschenrechten. Derzeit sind die dafür vorhandenen Mittel zu gering bzw. wurden seit dem Ausbruch der Finanz- und Wirtschaftskrise zum Teil gekürzt. Wir stehen vor der Herausforderung, die Mittel für diese gesellschaftlich wichtigen Bereiche aufzustocken.</w:t>
      </w:r>
    </w:p>
    <w:p w:rsidR="00BE541B" w:rsidRDefault="00BE541B" w:rsidP="00BE541B">
      <w:pPr>
        <w:pStyle w:val="ZGBFlietext"/>
      </w:pPr>
    </w:p>
    <w:p w:rsidR="00BE541B" w:rsidRPr="00BE541B" w:rsidRDefault="00637CCF" w:rsidP="00637CCF">
      <w:pPr>
        <w:pStyle w:val="ZGBManahme"/>
      </w:pPr>
      <w:r>
        <w:t>Das österreichische Budget ist sozial ungerecht</w:t>
      </w:r>
    </w:p>
    <w:p w:rsidR="00583AAD" w:rsidRDefault="00637CCF" w:rsidP="00637CCF">
      <w:r w:rsidRPr="00637CCF">
        <w:t>Rund zwei Drittel der Steuereinnahmen kommen aus der Lohn- und Mehrwertsteuer. Dagegen sind Steuereinnahmen aus Kapitaleinkommen, Vermögen oder der Nutzung von Ressourcen gering. Kapitaleinkommen werden – trotz einiger Reformen –  gegenüber den Arbeitseinkommen noch immer steuerlich deutlich begünstigt, Vermögen im Vergleich zum europäischen Durchschnitt nur wenig bis gar nicht besteuert. Das hat zur Folge, dass Menschen mit niedrigem Einkommen einen verhältnismäßig größeren Anteil an Steuern zahlen als Menschen mit hohem Einkommen und Vermögen. Durch die Abschaffung oder Verringerung von Steuern auf Vermögen oder Unternehmensgewinne fehlen dem Staat Einnahmen, die er für die Bereitstellung von wichtigen Leistungen der Daseinsvorsorge dringend benötigt.</w:t>
      </w:r>
      <w:r>
        <w:rPr>
          <w:noProof/>
          <w:lang w:eastAsia="de-AT"/>
        </w:rPr>
        <w:t xml:space="preserve"> </w:t>
      </w:r>
      <w:r w:rsidR="00542FE3">
        <w:rPr>
          <w:noProof/>
          <w:lang w:eastAsia="de-AT"/>
        </w:rPr>
        <w:drawing>
          <wp:inline distT="0" distB="0" distL="0" distR="0">
            <wp:extent cx="6241415" cy="3285490"/>
            <wp:effectExtent l="0" t="0" r="6985" b="0"/>
            <wp:docPr id="3" name="Grafik 3" descr="X:\WadK\Alternatives Budget\2015\Grafiken\Steue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WadK\Alternatives Budget\2015\Grafiken\Steuer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1415" cy="3285490"/>
                    </a:xfrm>
                    <a:prstGeom prst="rect">
                      <a:avLst/>
                    </a:prstGeom>
                    <a:noFill/>
                    <a:ln>
                      <a:noFill/>
                    </a:ln>
                  </pic:spPr>
                </pic:pic>
              </a:graphicData>
            </a:graphic>
          </wp:inline>
        </w:drawing>
      </w:r>
    </w:p>
    <w:p w:rsidR="00BE541B" w:rsidRDefault="00BE541B" w:rsidP="00BE541B">
      <w:pPr>
        <w:pStyle w:val="berschrift3"/>
        <w:rPr>
          <w:lang w:val="de-DE"/>
        </w:rPr>
      </w:pPr>
    </w:p>
    <w:p w:rsidR="001F6313" w:rsidRDefault="001F6313" w:rsidP="00BE541B">
      <w:pPr>
        <w:pStyle w:val="ZGBFlietext"/>
        <w:rPr>
          <w:sz w:val="20"/>
          <w:szCs w:val="20"/>
        </w:rPr>
      </w:pPr>
    </w:p>
    <w:p w:rsidR="001F6313" w:rsidRDefault="001F6313" w:rsidP="005A5AB7">
      <w:pPr>
        <w:pStyle w:val="ZGBManahme"/>
      </w:pPr>
      <w:r w:rsidRPr="001F6313">
        <w:t>Das österreichische Budget ist ökologisch nicht nachhaltig</w:t>
      </w:r>
    </w:p>
    <w:p w:rsidR="001F6313" w:rsidRDefault="00637CCF" w:rsidP="001F6313">
      <w:pPr>
        <w:pStyle w:val="ZGBFlietext"/>
      </w:pPr>
      <w:r w:rsidRPr="00637CCF">
        <w:t>Es gibt eine Reihe von Steuerbefreiungen und öffentlichen Ausgaben, die umweltschädlich sind bzw. umweltschädliches Verhalten fördern. Die aktuelle Form der Besteuerung von Firmenwagen z. B. hat zur Folge, dass das Autofahren „belohnt“ bzw. gefördert wird, wogegen Menschen, die umweltfreundlich mobil sind, oft leer ausgehen. Darüber hinaus sind Steuern auf Energie und Ressourcen im EU-Vergleich geringer, jene auf Arbeit höher. In Zeiten des Klimawandels und steigender Erdölpreise ist das keine zukunftsfähige Strategie.</w:t>
      </w:r>
    </w:p>
    <w:p w:rsidR="00637CCF" w:rsidRDefault="00637CCF" w:rsidP="001F6313">
      <w:pPr>
        <w:pStyle w:val="ZGBFlietext"/>
        <w:rPr>
          <w:sz w:val="20"/>
          <w:szCs w:val="20"/>
        </w:rPr>
      </w:pPr>
    </w:p>
    <w:p w:rsidR="001F6313" w:rsidRDefault="001F6313" w:rsidP="005A5AB7">
      <w:pPr>
        <w:pStyle w:val="ZGBManahme"/>
      </w:pPr>
      <w:r w:rsidRPr="001F6313">
        <w:t>Das österreichische Budget ist nicht geschlechtergerecht</w:t>
      </w:r>
    </w:p>
    <w:p w:rsidR="001F6313" w:rsidRDefault="00637CCF" w:rsidP="001F6313">
      <w:r w:rsidRPr="00637CCF">
        <w:rPr>
          <w:rFonts w:cs="MinionPro-Regular"/>
          <w:color w:val="000000" w:themeColor="text1"/>
          <w:lang w:val="de-DE"/>
        </w:rPr>
        <w:t xml:space="preserve">Obwohl die Bundesregierung seit 2009 verpflichtet ist, mittels der Budgetpolitik „die tatsächliche Gleichstellung von Frauen und Männern“ anzustreben, ist seitdem nicht viel geschehen. Es sind kaum merkliche Fortschritte zur Verbesserung der tatsächlichen Gleichstellung von Frauen und Männern vom Budget ausgegangen. Noch immer verdienen Frauen im Schnitt 40% weniger als Männer, sie arbeiten häufiger in Teilzeit und oft in Niedriglohnbereichen bzw. im Bereich der sozialen Dienste, in der Kinderbetreuung oder im Gesundheits- und Pflegesektor. Die Folge davon: Frauen – vor allem Alleinerzieherinnen und </w:t>
      </w:r>
      <w:proofErr w:type="spellStart"/>
      <w:r w:rsidRPr="00637CCF">
        <w:rPr>
          <w:rFonts w:cs="MinionPro-Regular"/>
          <w:color w:val="000000" w:themeColor="text1"/>
          <w:lang w:val="de-DE"/>
        </w:rPr>
        <w:t>Pensionistinnen</w:t>
      </w:r>
      <w:proofErr w:type="spellEnd"/>
      <w:r w:rsidRPr="00637CCF">
        <w:rPr>
          <w:rFonts w:cs="MinionPro-Regular"/>
          <w:color w:val="000000" w:themeColor="text1"/>
          <w:lang w:val="de-DE"/>
        </w:rPr>
        <w:t xml:space="preserve"> – zählen zu den am stärksten von Armut betroffenen Gruppen. </w:t>
      </w:r>
      <w:r w:rsidRPr="00637CCF">
        <w:rPr>
          <w:rFonts w:cs="MinionPro-Regular"/>
          <w:color w:val="000000" w:themeColor="text1"/>
          <w:lang w:val="de-DE"/>
        </w:rPr>
        <w:lastRenderedPageBreak/>
        <w:t>Fehlende Kinderbetreuungsmöglichkeiten, fehlende öffentliche Verkehrsverbindungen im ländlichen Raum oder auch fehlende Pflegeeinrichtungen – all das befördert diese Situation.</w:t>
      </w:r>
    </w:p>
    <w:p w:rsidR="00637CCF" w:rsidRDefault="00637CCF" w:rsidP="00637CCF">
      <w:pPr>
        <w:pStyle w:val="ZGBFlietext"/>
        <w:rPr>
          <w:rFonts w:cs="Verdana"/>
          <w:b/>
          <w:bCs/>
          <w:color w:val="auto"/>
          <w:sz w:val="28"/>
          <w:szCs w:val="28"/>
        </w:rPr>
      </w:pPr>
      <w:r w:rsidRPr="00637CCF">
        <w:rPr>
          <w:rFonts w:cs="Verdana"/>
          <w:b/>
          <w:bCs/>
          <w:color w:val="auto"/>
          <w:sz w:val="28"/>
          <w:szCs w:val="28"/>
        </w:rPr>
        <w:t>EU</w:t>
      </w:r>
      <w:r>
        <w:rPr>
          <w:rFonts w:cs="Verdana"/>
          <w:b/>
          <w:bCs/>
          <w:color w:val="auto"/>
          <w:sz w:val="28"/>
          <w:szCs w:val="28"/>
        </w:rPr>
        <w:t xml:space="preserve">-weite Kürzungspolitik erzeugt </w:t>
      </w:r>
      <w:r w:rsidRPr="00637CCF">
        <w:rPr>
          <w:rFonts w:cs="Verdana"/>
          <w:b/>
          <w:bCs/>
          <w:color w:val="auto"/>
          <w:sz w:val="28"/>
          <w:szCs w:val="28"/>
        </w:rPr>
        <w:t xml:space="preserve">Arbeitslosigkeit und noch mehr Schulden </w:t>
      </w:r>
    </w:p>
    <w:p w:rsidR="00795A50" w:rsidRDefault="00637CCF" w:rsidP="00795A50">
      <w:pPr>
        <w:pStyle w:val="ZGBFlietext"/>
      </w:pPr>
      <w:r w:rsidRPr="00637CCF">
        <w:t>Am Anfang der Finanzkrise milderten noch viele EU-Länder mit Konjunkturpaketen und Rettungsmaßnahmen die Wirtschaftskrise ab, seit 2009 wird jedoch seitens der EU-Institutionen (Europäische Kommission  und Europäischer Rat) eine EU-weite Kürzungspolitik vorangetrieben. Obwohl die öffentlichen Schulden ab 2007 in allen Ländern als Folge von Wirtschaftskrise, Bankenrettungen und Konjunkturmaßnahmen angestiegen sind, wird heute behauptet, dass zu hohe Sozialausgaben die Ursache dafür wären. Gerade in den EU-Ländern, die drastische Kürzungsmaßnahmen umsetzen – Griechenland, Spanien, Portugal, Italien oder Großbritannien – werden die öffentlichen Schulden dadurch nicht verringert. Im Gegenteil: Lohn- und Pensionskürzungen, Kürzungen bei öffentlichen Investitionen (etwa in Bildung, Gesundheit oder Infrastrukturmaßnahmen) vertiefen die wirtschaftliche und soziale Krise in diesen Ländern. Das bedeutet letztlich steigende öffentliche Schulden durch geringere Steuereinnahmen und höhere Staatsausgaben u. a. für Arbeitslose. Die Schuldenspirale dreht sich weiter. Statt Kürzungspolitik und -</w:t>
      </w:r>
      <w:proofErr w:type="spellStart"/>
      <w:r w:rsidRPr="00637CCF">
        <w:t>maßnahmen</w:t>
      </w:r>
      <w:proofErr w:type="spellEnd"/>
      <w:r w:rsidRPr="00637CCF">
        <w:t xml:space="preserve"> braucht es ein Ende der Unterfinanzierung von Staatsausgaben und öffentlichen Investitionen.</w:t>
      </w:r>
    </w:p>
    <w:p w:rsidR="00637CCF" w:rsidRDefault="00637CCF" w:rsidP="00795A50">
      <w:pPr>
        <w:pStyle w:val="ZGBFlietext"/>
      </w:pPr>
    </w:p>
    <w:p w:rsidR="006738E5" w:rsidRDefault="00637CCF" w:rsidP="00795A50">
      <w:pPr>
        <w:pStyle w:val="ZGBFlietext"/>
      </w:pPr>
      <w:r>
        <w:rPr>
          <w:noProof/>
          <w:lang w:val="de-AT" w:eastAsia="de-AT"/>
        </w:rPr>
        <w:drawing>
          <wp:inline distT="0" distB="0" distL="0" distR="0" wp14:anchorId="39B71052" wp14:editId="3EF9FCC5">
            <wp:extent cx="6271073" cy="3135086"/>
            <wp:effectExtent l="0" t="0" r="0" b="8255"/>
            <wp:docPr id="11" name="Grafik 11" descr="X:\WadK\Alternatives Budget\2015\Grafiken\Kürzunge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WadK\Alternatives Budget\2015\Grafiken\Kürzungen.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1178" cy="3135139"/>
                    </a:xfrm>
                    <a:prstGeom prst="rect">
                      <a:avLst/>
                    </a:prstGeom>
                    <a:noFill/>
                    <a:ln>
                      <a:noFill/>
                    </a:ln>
                  </pic:spPr>
                </pic:pic>
              </a:graphicData>
            </a:graphic>
          </wp:inline>
        </w:drawing>
      </w:r>
    </w:p>
    <w:p w:rsidR="00637CCF" w:rsidRDefault="00637CCF"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C22537" w:rsidRDefault="00C22537"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C22537" w:rsidRDefault="00C22537"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C22537" w:rsidRDefault="00C22537"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C22537" w:rsidRDefault="00C22537"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C22537" w:rsidRDefault="00C22537"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795A50" w:rsidRDefault="00795A50"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r w:rsidRPr="00795A50">
        <w:rPr>
          <w:rFonts w:ascii="Verdana" w:hAnsi="Verdana" w:cs="Verdana"/>
          <w:b/>
          <w:bCs/>
          <w:color w:val="EA1C75"/>
          <w:sz w:val="32"/>
          <w:szCs w:val="32"/>
          <w:lang w:val="de-DE"/>
        </w:rPr>
        <w:t>Ein sozial gerechtes, ökologisch nachhaltiges und zukunftsfähiges Budget ist also mehr als nötig!</w:t>
      </w:r>
    </w:p>
    <w:p w:rsidR="00FE2B48" w:rsidRDefault="00637CCF"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r w:rsidRPr="00637CCF">
        <w:rPr>
          <w:rFonts w:ascii="Verdana" w:hAnsi="Verdana" w:cs="Verdana"/>
          <w:b/>
          <w:bCs/>
          <w:color w:val="EA1C75"/>
          <w:sz w:val="32"/>
          <w:szCs w:val="32"/>
          <w:lang w:val="de-DE"/>
        </w:rPr>
        <w:t xml:space="preserve">Wir zeigen, dass dies möglich ist. </w:t>
      </w:r>
    </w:p>
    <w:p w:rsidR="00FE2B48" w:rsidRDefault="00FE2B48"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FE2B48" w:rsidRDefault="00FE2B48"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FE2B48" w:rsidRDefault="00FE2B48"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p>
    <w:p w:rsidR="00637CCF" w:rsidRPr="00795A50" w:rsidRDefault="00637CCF" w:rsidP="00795A50">
      <w:pPr>
        <w:suppressAutoHyphens/>
        <w:autoSpaceDE w:val="0"/>
        <w:autoSpaceDN w:val="0"/>
        <w:adjustRightInd w:val="0"/>
        <w:spacing w:after="0" w:line="288" w:lineRule="auto"/>
        <w:jc w:val="center"/>
        <w:textAlignment w:val="center"/>
        <w:rPr>
          <w:rFonts w:ascii="Verdana" w:hAnsi="Verdana" w:cs="Verdana"/>
          <w:b/>
          <w:bCs/>
          <w:color w:val="EA1C75"/>
          <w:sz w:val="32"/>
          <w:szCs w:val="32"/>
          <w:lang w:val="de-DE"/>
        </w:rPr>
      </w:pPr>
      <w:r w:rsidRPr="00637CCF">
        <w:rPr>
          <w:rFonts w:ascii="Verdana" w:hAnsi="Verdana" w:cs="Verdana"/>
          <w:b/>
          <w:bCs/>
          <w:color w:val="EA1C75"/>
          <w:sz w:val="32"/>
          <w:szCs w:val="32"/>
          <w:lang w:val="de-DE"/>
        </w:rPr>
        <w:t>Das Zivilgesellschaftliche Zukunftsbudget hat sieben Absichten:</w:t>
      </w:r>
    </w:p>
    <w:p w:rsidR="00ED666A" w:rsidRPr="00ED666A" w:rsidRDefault="00ED666A" w:rsidP="00ED666A">
      <w:pPr>
        <w:rPr>
          <w:lang w:val="de-DE"/>
        </w:rPr>
      </w:pPr>
    </w:p>
    <w:p w:rsidR="00ED666A" w:rsidRPr="00C22537" w:rsidRDefault="00637CCF" w:rsidP="00637CCF">
      <w:pPr>
        <w:pStyle w:val="ZGBFlietext"/>
        <w:numPr>
          <w:ilvl w:val="0"/>
          <w:numId w:val="11"/>
        </w:numPr>
        <w:rPr>
          <w:sz w:val="24"/>
          <w:szCs w:val="24"/>
        </w:rPr>
      </w:pPr>
      <w:r w:rsidRPr="00C22537">
        <w:rPr>
          <w:sz w:val="24"/>
          <w:szCs w:val="24"/>
        </w:rPr>
        <w:t>Es sorgt für eine gerechtere Verteilung von Arbeit und schafft mehr als 160.000 neue Arbeitsplätze, die gesellschaftlich wichtig sind – von der Pflege über Kinderbetreuung, im Bildungsbereich bis hin zur öffentlichen Mobilität.</w:t>
      </w:r>
    </w:p>
    <w:p w:rsidR="007B1F63" w:rsidRPr="00C22537" w:rsidRDefault="007B1F63" w:rsidP="007B1F63">
      <w:pPr>
        <w:pStyle w:val="ZGBFlietext"/>
        <w:ind w:left="720"/>
        <w:rPr>
          <w:sz w:val="24"/>
          <w:szCs w:val="24"/>
        </w:rPr>
      </w:pPr>
    </w:p>
    <w:p w:rsidR="00637CCF" w:rsidRPr="00C22537" w:rsidRDefault="00637CCF" w:rsidP="00637CCF">
      <w:pPr>
        <w:pStyle w:val="ZGBFlietext"/>
        <w:numPr>
          <w:ilvl w:val="0"/>
          <w:numId w:val="11"/>
        </w:numPr>
        <w:rPr>
          <w:sz w:val="24"/>
          <w:szCs w:val="24"/>
        </w:rPr>
      </w:pPr>
      <w:r w:rsidRPr="00C22537">
        <w:rPr>
          <w:sz w:val="24"/>
          <w:szCs w:val="24"/>
        </w:rPr>
        <w:t>Es leistet einen Beitrag zur Verringerung der Einkommensschere zwischen Männern und Frauen und verbessert u. a. durch den Ausbau von öffentlicher Mobilität, Pflegeeinrichtungen, Kinderbetreuung oder Ganztagsschulen die Lebensbedingungen und Zukunftschancen von Frauen.</w:t>
      </w:r>
    </w:p>
    <w:p w:rsidR="007B1F63" w:rsidRPr="00C22537" w:rsidRDefault="007B1F63" w:rsidP="007B1F63">
      <w:pPr>
        <w:pStyle w:val="Listenabsatz"/>
        <w:rPr>
          <w:sz w:val="24"/>
          <w:szCs w:val="24"/>
        </w:rPr>
      </w:pPr>
    </w:p>
    <w:p w:rsidR="007B1F63" w:rsidRPr="00C22537" w:rsidRDefault="007B1F63" w:rsidP="007B1F63">
      <w:pPr>
        <w:pStyle w:val="ZGBFlietext"/>
        <w:ind w:left="720"/>
        <w:rPr>
          <w:sz w:val="24"/>
          <w:szCs w:val="24"/>
        </w:rPr>
      </w:pPr>
    </w:p>
    <w:p w:rsidR="007B1F63" w:rsidRPr="00C22537" w:rsidRDefault="007B1F63" w:rsidP="007B1F63">
      <w:pPr>
        <w:pStyle w:val="Listenabsatz"/>
        <w:numPr>
          <w:ilvl w:val="0"/>
          <w:numId w:val="11"/>
        </w:numPr>
        <w:rPr>
          <w:rFonts w:cs="MinionPro-Regular"/>
          <w:color w:val="000000" w:themeColor="text1"/>
          <w:sz w:val="24"/>
          <w:szCs w:val="24"/>
          <w:lang w:val="de-DE"/>
        </w:rPr>
      </w:pPr>
      <w:r w:rsidRPr="00C22537">
        <w:rPr>
          <w:rFonts w:cs="MinionPro-Regular"/>
          <w:color w:val="000000" w:themeColor="text1"/>
          <w:sz w:val="24"/>
          <w:szCs w:val="24"/>
          <w:lang w:val="de-DE"/>
        </w:rPr>
        <w:t>Es sichert die Bereitstellung öffentlicher Güter und Dienstleistungen in hoher Qualität, die leistbar sind und flächendeckend angeboten werden.</w:t>
      </w:r>
    </w:p>
    <w:p w:rsidR="007B1F63" w:rsidRPr="00C22537" w:rsidRDefault="007B1F63" w:rsidP="00ED666A">
      <w:pPr>
        <w:pStyle w:val="ZGBFlietext"/>
        <w:numPr>
          <w:ilvl w:val="0"/>
          <w:numId w:val="11"/>
        </w:numPr>
        <w:rPr>
          <w:sz w:val="24"/>
          <w:szCs w:val="24"/>
        </w:rPr>
      </w:pPr>
      <w:r w:rsidRPr="00C22537">
        <w:rPr>
          <w:sz w:val="24"/>
          <w:szCs w:val="24"/>
        </w:rPr>
        <w:t>Es sorgt für mehr Steuer- und Verteilungsgerechtigkeit und leistet damit einen Beitrag zur Verringerung und langfristigen Beseitigung der Kluft zwischen Arm und Reich – in Österreich und international (Entwicklungszusammenarbeit).</w:t>
      </w:r>
    </w:p>
    <w:p w:rsidR="007B1F63" w:rsidRPr="00C22537" w:rsidRDefault="007B1F63" w:rsidP="007B1F63">
      <w:pPr>
        <w:pStyle w:val="ZGBFlietext"/>
        <w:ind w:left="720"/>
        <w:rPr>
          <w:sz w:val="24"/>
          <w:szCs w:val="24"/>
        </w:rPr>
      </w:pPr>
    </w:p>
    <w:p w:rsidR="00ED666A" w:rsidRPr="00C22537" w:rsidRDefault="007B1F63" w:rsidP="00ED666A">
      <w:pPr>
        <w:pStyle w:val="ZGBFlietext"/>
        <w:numPr>
          <w:ilvl w:val="0"/>
          <w:numId w:val="11"/>
        </w:numPr>
        <w:rPr>
          <w:sz w:val="24"/>
          <w:szCs w:val="24"/>
        </w:rPr>
      </w:pPr>
      <w:r w:rsidRPr="00C22537">
        <w:rPr>
          <w:sz w:val="24"/>
          <w:szCs w:val="24"/>
        </w:rPr>
        <w:t xml:space="preserve">Es stellt sicher, dass neben einer Vielzahl von Zukunftsinvestitionen auch das Steuersystem zur </w:t>
      </w:r>
      <w:proofErr w:type="spellStart"/>
      <w:r w:rsidRPr="00C22537">
        <w:rPr>
          <w:sz w:val="24"/>
          <w:szCs w:val="24"/>
        </w:rPr>
        <w:t>Ökologisierung</w:t>
      </w:r>
      <w:proofErr w:type="spellEnd"/>
      <w:r w:rsidRPr="00C22537">
        <w:rPr>
          <w:sz w:val="24"/>
          <w:szCs w:val="24"/>
        </w:rPr>
        <w:t xml:space="preserve"> unserer Wirtschaft beiträgt.</w:t>
      </w:r>
    </w:p>
    <w:p w:rsidR="007B1F63" w:rsidRPr="00C22537" w:rsidRDefault="007B1F63" w:rsidP="007B1F63">
      <w:pPr>
        <w:pStyle w:val="Listenabsatz"/>
        <w:rPr>
          <w:sz w:val="24"/>
          <w:szCs w:val="24"/>
        </w:rPr>
      </w:pPr>
    </w:p>
    <w:p w:rsidR="007B1F63" w:rsidRPr="00C22537" w:rsidRDefault="007B1F63" w:rsidP="007B1F63">
      <w:pPr>
        <w:pStyle w:val="ZGBFlietext"/>
        <w:ind w:left="720"/>
        <w:rPr>
          <w:sz w:val="24"/>
          <w:szCs w:val="24"/>
        </w:rPr>
      </w:pPr>
    </w:p>
    <w:p w:rsidR="007B1F63" w:rsidRPr="00C22537" w:rsidRDefault="007B1F63" w:rsidP="007B1F63">
      <w:pPr>
        <w:pStyle w:val="ZGBFlietext"/>
        <w:numPr>
          <w:ilvl w:val="0"/>
          <w:numId w:val="11"/>
        </w:numPr>
        <w:rPr>
          <w:sz w:val="24"/>
          <w:szCs w:val="24"/>
        </w:rPr>
      </w:pPr>
      <w:r w:rsidRPr="00C22537">
        <w:rPr>
          <w:sz w:val="24"/>
          <w:szCs w:val="24"/>
        </w:rPr>
        <w:t>Es stärkt den demokratischen Charakter unserer Gesellschaft und stellt sicher, dass Menschen, die Schutz und Förderung brauchen, diese Unterstützung auch erhalten.</w:t>
      </w:r>
    </w:p>
    <w:p w:rsidR="007B1F63" w:rsidRPr="00C22537" w:rsidRDefault="007B1F63" w:rsidP="007B1F63">
      <w:pPr>
        <w:pStyle w:val="ZGBFlietext"/>
        <w:ind w:left="720"/>
        <w:rPr>
          <w:sz w:val="24"/>
          <w:szCs w:val="24"/>
        </w:rPr>
      </w:pPr>
    </w:p>
    <w:p w:rsidR="00C22537" w:rsidRPr="00C22537" w:rsidRDefault="007B1F63" w:rsidP="00AB1A87">
      <w:pPr>
        <w:pStyle w:val="ZGBFlietext"/>
        <w:numPr>
          <w:ilvl w:val="0"/>
          <w:numId w:val="11"/>
        </w:numPr>
      </w:pPr>
      <w:r w:rsidRPr="00C22537">
        <w:rPr>
          <w:sz w:val="24"/>
          <w:szCs w:val="24"/>
        </w:rPr>
        <w:t>Es reduziert das Budgetdefizit durch die Restrukturierung der Staatseinnahmen bei gleichzeitigem Ausbau sozialer Dienstleistungen und Förderung des ökologischen Umbaus der österreichischen Wirtschaft.</w:t>
      </w:r>
    </w:p>
    <w:p w:rsidR="00C22537" w:rsidRDefault="00C22537" w:rsidP="00AB1A87">
      <w:pPr>
        <w:pStyle w:val="berschrift2"/>
      </w:pPr>
    </w:p>
    <w:p w:rsidR="00C22537" w:rsidRDefault="00C22537" w:rsidP="00AB1A87">
      <w:pPr>
        <w:pStyle w:val="berschrift2"/>
      </w:pPr>
    </w:p>
    <w:p w:rsidR="00C22537" w:rsidRDefault="00C22537" w:rsidP="00AB1A87">
      <w:pPr>
        <w:pStyle w:val="berschrift2"/>
      </w:pPr>
    </w:p>
    <w:p w:rsidR="00E8120E" w:rsidRDefault="00E8120E" w:rsidP="00AB1A87">
      <w:pPr>
        <w:pStyle w:val="berschrift2"/>
      </w:pPr>
      <w:bookmarkStart w:id="5" w:name="_Toc406072748"/>
      <w:r>
        <w:t>Ein Zukunftsbudget braucht Demokratie!</w:t>
      </w:r>
      <w:bookmarkEnd w:id="5"/>
    </w:p>
    <w:p w:rsidR="00E8120E" w:rsidRDefault="00E8120E" w:rsidP="00E8120E">
      <w:pPr>
        <w:pStyle w:val="ZGBFlietext"/>
      </w:pPr>
    </w:p>
    <w:p w:rsidR="007B1F63" w:rsidRDefault="007B1F63" w:rsidP="007B1F63">
      <w:pPr>
        <w:pStyle w:val="ZGBEinleitung"/>
      </w:pPr>
      <w:r w:rsidRPr="007B1F63">
        <w:t xml:space="preserve">Wir haben in der Umgestaltung des öffentlichen Budgets schon einiges erreicht. Damit noch mehr unserer Vorschläge Realität und öffentliche Budgets auch wirklich öffentlich werden, braucht es transparente und demokratische Budgeterstellungs- und Steuerreformprozesse. Zivilgesellschaftliche Organisationen müssen hier eingebunden werden. Um echte Beteiligung zu ermöglichen ist zum einen der Zugang zu Daten und Informationen eine zentrale Voraussetzung. Zum anderen braucht es transparente und nachvollziehbare Beteiligungsprozesse. In einem ersten Schritt fordern wir: </w:t>
      </w:r>
    </w:p>
    <w:p w:rsidR="00E8120E" w:rsidRPr="00E8120E" w:rsidRDefault="00E8120E" w:rsidP="00E8120E">
      <w:pPr>
        <w:pStyle w:val="ZGBFlietext"/>
      </w:pPr>
      <w:r w:rsidRPr="00E8120E">
        <w:t xml:space="preserve"> </w:t>
      </w:r>
    </w:p>
    <w:p w:rsidR="00E8120E" w:rsidRPr="00E8120E" w:rsidRDefault="00E8120E" w:rsidP="00E8120E">
      <w:pPr>
        <w:pStyle w:val="ZGBFlietext"/>
        <w:numPr>
          <w:ilvl w:val="0"/>
          <w:numId w:val="12"/>
        </w:numPr>
      </w:pPr>
      <w:r w:rsidRPr="00E8120E">
        <w:lastRenderedPageBreak/>
        <w:t xml:space="preserve">den Beitritt Österreichs zum „Open </w:t>
      </w:r>
      <w:proofErr w:type="spellStart"/>
      <w:r w:rsidRPr="00E8120E">
        <w:t>Government</w:t>
      </w:r>
      <w:proofErr w:type="spellEnd"/>
      <w:r w:rsidRPr="00E8120E">
        <w:t xml:space="preserve"> </w:t>
      </w:r>
      <w:proofErr w:type="spellStart"/>
      <w:r w:rsidRPr="00E8120E">
        <w:t>Partnership</w:t>
      </w:r>
      <w:proofErr w:type="spellEnd"/>
      <w:r w:rsidRPr="00E8120E">
        <w:t xml:space="preserve"> “</w:t>
      </w:r>
      <w:r w:rsidR="00BC78E2">
        <w:rPr>
          <w:rStyle w:val="Funotenzeichen"/>
        </w:rPr>
        <w:footnoteReference w:id="1"/>
      </w:r>
    </w:p>
    <w:p w:rsidR="007B1F63" w:rsidRDefault="007B1F63" w:rsidP="007B1F63">
      <w:pPr>
        <w:pStyle w:val="ZGBFlietext"/>
        <w:numPr>
          <w:ilvl w:val="0"/>
          <w:numId w:val="12"/>
        </w:numPr>
      </w:pPr>
      <w:r w:rsidRPr="007B1F63">
        <w:t xml:space="preserve">ein Informationsfreiheitsgesetz, in dem der Zugang zu Informationen über die Verwendung aller öffentlichen Mittel – auf Gemeinde-, Landes- und Bundesebene – als zentraler Bestandteil verankert ist. </w:t>
      </w:r>
      <w:proofErr w:type="spellStart"/>
      <w:r w:rsidRPr="007B1F63">
        <w:t>BürgerInnen</w:t>
      </w:r>
      <w:proofErr w:type="spellEnd"/>
      <w:r w:rsidRPr="007B1F63">
        <w:t xml:space="preserve"> müssen die Möglichkeit haben, nachvollziehbar und verständlich einzusehen, wofür ihre Steuergelder ausgegeben werden. </w:t>
      </w:r>
    </w:p>
    <w:p w:rsidR="007B1F63" w:rsidRDefault="007B1F63" w:rsidP="00E8120E">
      <w:pPr>
        <w:pStyle w:val="ZGBFlietext"/>
        <w:numPr>
          <w:ilvl w:val="0"/>
          <w:numId w:val="12"/>
        </w:numPr>
      </w:pPr>
      <w:r w:rsidRPr="007B1F63">
        <w:t>die Einbindung zivilgesellschaftlicher Organisationen für die Erarbeitung von „wirkungsorientierten Budgets“ in einer klaren und transparenten Weise.</w:t>
      </w:r>
    </w:p>
    <w:p w:rsidR="00E8120E" w:rsidRDefault="007B1F63" w:rsidP="00E8120E">
      <w:pPr>
        <w:pStyle w:val="ZGBFlietext"/>
        <w:numPr>
          <w:ilvl w:val="0"/>
          <w:numId w:val="12"/>
        </w:numPr>
      </w:pPr>
      <w:r w:rsidRPr="007B1F63">
        <w:t>die Einladung von zivilgesellschaftlichen Organisationen zu einem öffentlichen Hearing seitens des Budgetausschusses des Nationalrats (bzw. auch auf Länderebene) und zwar im Frühjahr, wenn es um die langfristige Budgetplanung geht, wie auch im Herbst, wenn es um das Budget für das kommende Jahr geht.</w:t>
      </w:r>
    </w:p>
    <w:p w:rsidR="007B1F63" w:rsidRDefault="007B1F63" w:rsidP="007B1F63">
      <w:pPr>
        <w:pStyle w:val="ZGBFlietext"/>
        <w:numPr>
          <w:ilvl w:val="0"/>
          <w:numId w:val="12"/>
        </w:numPr>
      </w:pPr>
      <w:r w:rsidRPr="007B1F63">
        <w:t>die Einrichtung eines unabhängigen Beirats zur Umsetzung von Gender-</w:t>
      </w:r>
      <w:proofErr w:type="spellStart"/>
      <w:r w:rsidRPr="007B1F63">
        <w:t>Budgeting</w:t>
      </w:r>
      <w:proofErr w:type="spellEnd"/>
      <w:r w:rsidRPr="007B1F63">
        <w:t xml:space="preserve">. Um das Ziel eines geschlechtergerechten Budgets zu erreichen, ist aus unserer Sicht die Einsetzung eines solchen Rates notwendig. Dieses Gremium soll unabhängig agieren, die Erstellung eines Genderberichts unterstützend begleiten und jährlich Empfehlungen an die Regierung aussprechen. Die Besetzung soll zu 50% durch die Frauenministerin (der die Umsetzung des Nationalen Aktionsplans Gleichstellung obliegt) erfolgen. 50% der Mitglieder sollen zivilgesellschaftliche bzw. wissenschaftliche </w:t>
      </w:r>
      <w:proofErr w:type="spellStart"/>
      <w:r w:rsidRPr="007B1F63">
        <w:t>AkteurInnen</w:t>
      </w:r>
      <w:proofErr w:type="spellEnd"/>
      <w:r w:rsidRPr="007B1F63">
        <w:t xml:space="preserve"> stellen. Auf Regierungsseite ist die Institutionalisierung von Gender </w:t>
      </w:r>
      <w:proofErr w:type="spellStart"/>
      <w:r w:rsidRPr="007B1F63">
        <w:t>Budgeting</w:t>
      </w:r>
      <w:proofErr w:type="spellEnd"/>
      <w:r w:rsidRPr="007B1F63">
        <w:t xml:space="preserve"> im Bundeskanzleramt (BKA) und dem Frauenministerium vorzusehen. Diese Stelle soll eng mit der </w:t>
      </w:r>
      <w:proofErr w:type="spellStart"/>
      <w:r w:rsidRPr="007B1F63">
        <w:t>Wirkungscontrollingstelle</w:t>
      </w:r>
      <w:proofErr w:type="spellEnd"/>
      <w:r w:rsidRPr="007B1F63">
        <w:t xml:space="preserve"> des BKA zusammenarbeiten. Auf Parlamentsseite ist darauf zu achten, dass es im vereinbarten Budgetdienst explizit zuständige </w:t>
      </w:r>
      <w:proofErr w:type="spellStart"/>
      <w:r w:rsidRPr="007B1F63">
        <w:t>ExpertInnen</w:t>
      </w:r>
      <w:proofErr w:type="spellEnd"/>
      <w:r w:rsidRPr="007B1F63">
        <w:t xml:space="preserve"> zur Umsetzung dieser Staatszielbestimmung gibt. Zusätzlich dazu soll auch ein Gender-Budget Forum mit breiter öffentlicher Beteiligung eingerichtet werden, im Rahmen dessen Diskussionen mit den </w:t>
      </w:r>
      <w:proofErr w:type="spellStart"/>
      <w:r w:rsidRPr="007B1F63">
        <w:t>MinisterInnen</w:t>
      </w:r>
      <w:proofErr w:type="spellEnd"/>
      <w:r w:rsidRPr="007B1F63">
        <w:t xml:space="preserve"> über die Gleichstellungswirkung des Budgets stattfinden und Vorschläge zur Förderung der Gleichstellung von Seiten der Zivilgesellschaft und der Bevölkerung eingebracht werden können.</w:t>
      </w:r>
    </w:p>
    <w:p w:rsidR="00E8120E" w:rsidRDefault="00E8120E" w:rsidP="009A6654">
      <w:pPr>
        <w:pStyle w:val="berschrift2"/>
      </w:pPr>
    </w:p>
    <w:p w:rsidR="00AB1A87" w:rsidRDefault="00AB1A87" w:rsidP="00AB1A87">
      <w:pPr>
        <w:pStyle w:val="berschrift2"/>
      </w:pPr>
    </w:p>
    <w:p w:rsidR="004839F8" w:rsidRDefault="004839F8" w:rsidP="00AB1A87">
      <w:pPr>
        <w:pStyle w:val="berschrift2"/>
      </w:pPr>
      <w:bookmarkStart w:id="6" w:name="_Toc406072749"/>
      <w:r>
        <w:t>Budgetpolitik ist Frauen- und Gleichstellungspolitik</w:t>
      </w:r>
      <w:bookmarkEnd w:id="6"/>
    </w:p>
    <w:p w:rsidR="00E8120E" w:rsidRDefault="00E8120E" w:rsidP="00E8120E">
      <w:pPr>
        <w:pStyle w:val="ZGBFlietext"/>
      </w:pPr>
    </w:p>
    <w:p w:rsidR="007B1F63" w:rsidRPr="007B1F63" w:rsidRDefault="007B1F63" w:rsidP="007B1F63">
      <w:pPr>
        <w:pStyle w:val="ZGBFlietext"/>
        <w:rPr>
          <w:b/>
          <w:bCs/>
          <w:i/>
          <w:iCs/>
        </w:rPr>
      </w:pPr>
      <w:r w:rsidRPr="007B1F63">
        <w:rPr>
          <w:b/>
          <w:bCs/>
          <w:i/>
          <w:iCs/>
        </w:rPr>
        <w:t>Wenn der Nationalrat, ein Landtag oder eine Gemeinde ein Budget beschließt, dann werden wichtige Entscheidungen getroffen – z. B. ob mehr oder weniger Geld für öffentliche Verkehrsmittel, Sozialleistungen oder Wirtschaftsförderungen ausgegeben wird. Dabei muss man auch fragen: Ziehen eher Männer oder Frauen Nutzen aus diesen Ausgaben? Treffen etwaige Einsparungen eher Männer oder Frauen? Dabei gibt es oft erhebliche Unterschiede. Budgetpolitik ist also letztlich immer auch Frauen- bzw. Gleichstellungspolitik.</w:t>
      </w:r>
    </w:p>
    <w:p w:rsidR="004839F8" w:rsidRDefault="004839F8" w:rsidP="00E8120E">
      <w:pPr>
        <w:pStyle w:val="ZGBFlietext"/>
      </w:pPr>
    </w:p>
    <w:p w:rsidR="004839F8" w:rsidRDefault="004839F8" w:rsidP="005A5AB7">
      <w:pPr>
        <w:pStyle w:val="ZGBManahme"/>
      </w:pPr>
      <w:r w:rsidRPr="004839F8">
        <w:t>Unsere Vision eines geschlechtergerechten Budgets</w:t>
      </w:r>
    </w:p>
    <w:p w:rsidR="005D7D5A" w:rsidRDefault="005D7D5A" w:rsidP="005D7D5A">
      <w:pPr>
        <w:pStyle w:val="ZGBFlietext"/>
      </w:pPr>
      <w:r w:rsidRPr="005D7D5A">
        <w:t>Obwohl Männer und Frauen gleichberechtigte Mitglieder in der Gesellschaft sind, werden Frauen weiterhin benachteiligt. In Österreich verdienen sie um rund ein Drittel weniger als Männer, leisten zwei Drittel der unbezahlten Arbeit, sind öfter von Armut betroffen und sind in wichtigen politischen und ökonomischen Entscheidungspositionen deutlich unterrepräsentiert. Die öffentlichen Budgets müssen daher einen Beitrag zur Förderung der Gleichstellung von Männern und Frauen leisten. Sie müssen:</w:t>
      </w:r>
    </w:p>
    <w:p w:rsidR="004839F8" w:rsidRPr="004839F8" w:rsidRDefault="004839F8" w:rsidP="005D7D5A">
      <w:pPr>
        <w:pStyle w:val="ZGBFlietext"/>
        <w:numPr>
          <w:ilvl w:val="0"/>
          <w:numId w:val="29"/>
        </w:numPr>
      </w:pPr>
      <w:r w:rsidRPr="004839F8">
        <w:t>die ungleiche Verteilung zwischen bezahlter und unbezahlter Arbeit (Betreuungs- und Hausarbeit) zwischen Männern und Frauen verringern.</w:t>
      </w:r>
    </w:p>
    <w:p w:rsidR="004839F8" w:rsidRPr="004839F8" w:rsidRDefault="004839F8" w:rsidP="004839F8">
      <w:pPr>
        <w:pStyle w:val="ZGBFlietext"/>
        <w:numPr>
          <w:ilvl w:val="0"/>
          <w:numId w:val="13"/>
        </w:numPr>
      </w:pPr>
      <w:r w:rsidRPr="004839F8">
        <w:t xml:space="preserve">dazu beitragen die Lohnschere zwischen Männern und Frauen zu schließen. </w:t>
      </w:r>
    </w:p>
    <w:p w:rsidR="004839F8" w:rsidRPr="004839F8" w:rsidRDefault="004839F8" w:rsidP="004839F8">
      <w:pPr>
        <w:pStyle w:val="ZGBFlietext"/>
        <w:numPr>
          <w:ilvl w:val="0"/>
          <w:numId w:val="13"/>
        </w:numPr>
      </w:pPr>
      <w:r w:rsidRPr="004839F8">
        <w:t>die Unabhängigkeit – insbesondere die ökonomische – von Frauen stärken und Armut vermeiden.</w:t>
      </w:r>
    </w:p>
    <w:p w:rsidR="004839F8" w:rsidRPr="004839F8" w:rsidRDefault="004839F8" w:rsidP="004839F8">
      <w:pPr>
        <w:pStyle w:val="ZGBFlietext"/>
        <w:numPr>
          <w:ilvl w:val="0"/>
          <w:numId w:val="13"/>
        </w:numPr>
      </w:pPr>
      <w:r w:rsidRPr="004839F8">
        <w:t>Freiheit von Gewalt ermöglichen bzw. sicherstellen.</w:t>
      </w:r>
    </w:p>
    <w:p w:rsidR="004839F8" w:rsidRPr="004839F8" w:rsidRDefault="004839F8" w:rsidP="004839F8">
      <w:pPr>
        <w:pStyle w:val="ZGBFlietext"/>
        <w:numPr>
          <w:ilvl w:val="0"/>
          <w:numId w:val="13"/>
        </w:numPr>
      </w:pPr>
      <w:r w:rsidRPr="004839F8">
        <w:t>Rahmenbedingungen für die Vereinbarkeit von Beruf und Familie schaffen (u. a. durch den Ausbau von Kinderbetreuungseinrichtungen und von leistbarer, ökologisch nachhaltiger Mobilität).</w:t>
      </w:r>
    </w:p>
    <w:p w:rsidR="005D7D5A" w:rsidRDefault="004839F8" w:rsidP="004839F8">
      <w:pPr>
        <w:pStyle w:val="ZGBFlietext"/>
        <w:numPr>
          <w:ilvl w:val="0"/>
          <w:numId w:val="13"/>
        </w:numPr>
      </w:pPr>
      <w:r w:rsidRPr="004839F8">
        <w:lastRenderedPageBreak/>
        <w:t xml:space="preserve">die Teilhabe von Frauen an der Gesellschaft, der Politik und </w:t>
      </w:r>
      <w:r>
        <w:t>dem öffentlichen Leben stärken.</w:t>
      </w:r>
      <w:r w:rsidRPr="004839F8">
        <w:t xml:space="preserve"> </w:t>
      </w:r>
    </w:p>
    <w:p w:rsidR="004839F8" w:rsidRPr="004839F8" w:rsidRDefault="004839F8" w:rsidP="004839F8">
      <w:pPr>
        <w:pStyle w:val="ZGBFlietext"/>
        <w:numPr>
          <w:ilvl w:val="0"/>
          <w:numId w:val="13"/>
        </w:numPr>
      </w:pPr>
      <w:r w:rsidRPr="004839F8">
        <w:t>eine Wirtschaft und Gesellschaft fördern, die nachhaltig die Lebensqualität für alle hebt.</w:t>
      </w:r>
    </w:p>
    <w:p w:rsidR="004839F8" w:rsidRDefault="004839F8" w:rsidP="00E8120E">
      <w:pPr>
        <w:pStyle w:val="ZGBFlietext"/>
      </w:pPr>
    </w:p>
    <w:p w:rsidR="004839F8" w:rsidRPr="004839F8" w:rsidRDefault="004839F8" w:rsidP="005A5AB7">
      <w:pPr>
        <w:pStyle w:val="ZGBManahme"/>
      </w:pPr>
      <w:r w:rsidRPr="004839F8">
        <w:t>Auf dem Weg zu geschlechtergerechten öffentlichen Budgets</w:t>
      </w:r>
    </w:p>
    <w:p w:rsidR="005D7D5A" w:rsidRPr="005D7D5A" w:rsidRDefault="005D7D5A" w:rsidP="005D7D5A">
      <w:pPr>
        <w:pStyle w:val="ZGBFlietext"/>
      </w:pPr>
      <w:r w:rsidRPr="005D7D5A">
        <w:t>Seit dem 1. Jänner 2009 ist das Ziel der tatsächlichen Gleichstellung von Frauen und Männern im öffentlichen Haushaltswesen in der Verfassung verankert („Gender-</w:t>
      </w:r>
      <w:proofErr w:type="spellStart"/>
      <w:r w:rsidRPr="005D7D5A">
        <w:t>Budgeting</w:t>
      </w:r>
      <w:proofErr w:type="spellEnd"/>
      <w:r w:rsidRPr="005D7D5A">
        <w:t xml:space="preserve">“). Sowohl die Einnahmen als auch die Ausgaben sollen einen wesentlichen Beitrag zur Geschlechtergleichstellung leisten. </w:t>
      </w:r>
    </w:p>
    <w:p w:rsidR="005D7D5A" w:rsidRPr="005D7D5A" w:rsidRDefault="005D7D5A" w:rsidP="005D7D5A">
      <w:pPr>
        <w:pStyle w:val="ZGBFlietext"/>
      </w:pPr>
      <w:r w:rsidRPr="005D7D5A">
        <w:t>Die bisherige Umsetzung seitens der Regierung lässt zu wünschen übrig. Damit Gender-</w:t>
      </w:r>
      <w:proofErr w:type="spellStart"/>
      <w:r w:rsidRPr="005D7D5A">
        <w:t>Budgeting</w:t>
      </w:r>
      <w:proofErr w:type="spellEnd"/>
      <w:r w:rsidRPr="005D7D5A">
        <w:t xml:space="preserve"> dem verfassungsrechtlichen Auftrag gerecht wird, braucht es neue Formen der Zusammenarbeit und eine Öffnung der Budgetprozesse. Im Kapit</w:t>
      </w:r>
      <w:r>
        <w:t>el „Zukunftsbudget braucht Demo</w:t>
      </w:r>
      <w:r w:rsidRPr="005D7D5A">
        <w:t>kratie“ (auf Seite 14) schlagen wir hierzu eine Reihe von Maßnahmen vor, u. a. einen unabhängigen Beirat und die Einführung von Gender-</w:t>
      </w:r>
      <w:proofErr w:type="spellStart"/>
      <w:r w:rsidRPr="005D7D5A">
        <w:t>Budgeting</w:t>
      </w:r>
      <w:proofErr w:type="spellEnd"/>
      <w:r w:rsidRPr="005D7D5A">
        <w:t xml:space="preserve"> Foren, wo zwischen </w:t>
      </w:r>
      <w:proofErr w:type="spellStart"/>
      <w:r w:rsidRPr="005D7D5A">
        <w:t>MinisterInnen</w:t>
      </w:r>
      <w:proofErr w:type="spellEnd"/>
      <w:r w:rsidRPr="005D7D5A">
        <w:t xml:space="preserve"> und Zivilgesellschaft über die Gleichstellungswirkung des Budgets diskutiert wird.</w:t>
      </w:r>
    </w:p>
    <w:p w:rsidR="004839F8" w:rsidRDefault="004839F8" w:rsidP="004839F8">
      <w:pPr>
        <w:pStyle w:val="ZGBFlietext"/>
      </w:pPr>
    </w:p>
    <w:p w:rsidR="004839F8" w:rsidRDefault="004839F8" w:rsidP="005A5AB7">
      <w:pPr>
        <w:pStyle w:val="ZGBManahme"/>
      </w:pPr>
      <w:r w:rsidRPr="004839F8">
        <w:t>Vorschläge aus dem zivilgesellschaftlichen Zukunftsbudget, die Gleichstellung fördern</w:t>
      </w:r>
    </w:p>
    <w:p w:rsidR="004839F8" w:rsidRPr="004839F8" w:rsidRDefault="005D7D5A" w:rsidP="004839F8">
      <w:pPr>
        <w:pStyle w:val="ZGBFlietext"/>
      </w:pPr>
      <w:r w:rsidRPr="005D7D5A">
        <w:t xml:space="preserve">Das zivilgesellschaftliche Zukunftsbudget enthält eine Reihe von Vorschlägen, die die Ungleichheit zwischen Männern und Frauen reduzieren. Hier ein kurzer </w:t>
      </w:r>
      <w:r>
        <w:t>Überblick über diese Maßnahmen:</w:t>
      </w:r>
    </w:p>
    <w:p w:rsidR="004839F8" w:rsidRPr="004839F8" w:rsidRDefault="004839F8" w:rsidP="005D7D5A">
      <w:pPr>
        <w:pStyle w:val="ZGBFlietext"/>
        <w:numPr>
          <w:ilvl w:val="0"/>
          <w:numId w:val="30"/>
        </w:numPr>
      </w:pPr>
      <w:r w:rsidRPr="004839F8">
        <w:t xml:space="preserve">Angleichung des Lohnniveaus der im Sozialbereich Beschäftigten (Pflege, Kinderbetreuung…) an das durchschnittliche Einkommen von Angestellten </w:t>
      </w:r>
    </w:p>
    <w:p w:rsidR="004839F8" w:rsidRDefault="004839F8" w:rsidP="004839F8">
      <w:pPr>
        <w:pStyle w:val="ZGBFlietext"/>
        <w:numPr>
          <w:ilvl w:val="0"/>
          <w:numId w:val="14"/>
        </w:numPr>
      </w:pPr>
      <w:r w:rsidRPr="004839F8">
        <w:t>Mehr und bessere Kinderbetreuungseinrichtungen und Pflegeangebote für bessere Verei</w:t>
      </w:r>
      <w:r>
        <w:t xml:space="preserve">nbarkeit von Beruf und Familie </w:t>
      </w:r>
    </w:p>
    <w:p w:rsidR="004839F8" w:rsidRPr="004839F8" w:rsidRDefault="004839F8" w:rsidP="004839F8">
      <w:pPr>
        <w:pStyle w:val="ZGBFlietext"/>
        <w:numPr>
          <w:ilvl w:val="0"/>
          <w:numId w:val="14"/>
        </w:numPr>
      </w:pPr>
      <w:r w:rsidRPr="004839F8">
        <w:t xml:space="preserve">Einführung eines Taktfahrplanes bei öffentlichen Verkehrsmitteln mit kurzen Intervallen für eine bessere Mobilität </w:t>
      </w:r>
    </w:p>
    <w:p w:rsidR="004839F8" w:rsidRPr="004839F8" w:rsidRDefault="004839F8" w:rsidP="004839F8">
      <w:pPr>
        <w:pStyle w:val="ZGBFlietext"/>
        <w:numPr>
          <w:ilvl w:val="0"/>
          <w:numId w:val="14"/>
        </w:numPr>
      </w:pPr>
      <w:r w:rsidRPr="004839F8">
        <w:t xml:space="preserve">Verkürzung der Wochenarbeitszeit für eine bessere </w:t>
      </w:r>
      <w:proofErr w:type="spellStart"/>
      <w:r w:rsidRPr="004839F8">
        <w:t>work</w:t>
      </w:r>
      <w:proofErr w:type="spellEnd"/>
      <w:r w:rsidRPr="004839F8">
        <w:t>-</w:t>
      </w:r>
      <w:proofErr w:type="spellStart"/>
      <w:r w:rsidRPr="004839F8">
        <w:t>life</w:t>
      </w:r>
      <w:proofErr w:type="spellEnd"/>
      <w:r w:rsidRPr="004839F8">
        <w:t>-Balance und eine gerechtere Aufteilung von unbezahlter Haus- und Familienarbeit</w:t>
      </w:r>
    </w:p>
    <w:p w:rsidR="004839F8" w:rsidRPr="004839F8" w:rsidRDefault="004839F8" w:rsidP="004839F8">
      <w:pPr>
        <w:pStyle w:val="ZGBFlietext"/>
        <w:numPr>
          <w:ilvl w:val="0"/>
          <w:numId w:val="14"/>
        </w:numPr>
      </w:pPr>
      <w:r w:rsidRPr="004839F8">
        <w:t>Ausbau der Ganztagsschule für bessere Berufschancen für Frauen mit Kindern und bessere Zukunftschancen für Kinder aus sozial schwächeren Schichten</w:t>
      </w:r>
    </w:p>
    <w:p w:rsidR="004839F8" w:rsidRDefault="005D7D5A" w:rsidP="004839F8">
      <w:pPr>
        <w:pStyle w:val="ZGBFlietext"/>
      </w:pPr>
      <w:r w:rsidRPr="005D7D5A">
        <w:t>Umstellung von Freibeträgen auf Absetzbeträge im Steuerbereich. Das österreichische Steuersystem enthält eine Reihe von Freibeträgen zur steuerlichen Entlastung (z. B. für Ausgaben für Ausbildung, Gesundheitskosten usw.). Freibeträge führen aber zu unterschiedlich hoher Steuerersparnis – die umso höher ist, je mehr jemand verdient. Geringe Einkommen – das betrifft v. a. Frauen – gehen hingegen fast leer aus. Die durchgängige Umstellung auf Absetzbeträge bedeutet, dass alle unabhängig vom Einkommen einen gleich hohen Entlastungsbetrag in Anspruch nehmen können.</w:t>
      </w:r>
    </w:p>
    <w:p w:rsidR="005D7D5A" w:rsidRDefault="005D7D5A" w:rsidP="004839F8">
      <w:pPr>
        <w:pStyle w:val="ZGBFlietext"/>
      </w:pPr>
    </w:p>
    <w:p w:rsidR="004839F8" w:rsidRDefault="004839F8" w:rsidP="005A5AB7">
      <w:pPr>
        <w:pStyle w:val="ZGBManahme"/>
      </w:pPr>
      <w:r w:rsidRPr="004839F8">
        <w:t xml:space="preserve">Frauenspezifische Maßnahmen: Ausbau der Förderung von Fraueninstitutionen </w:t>
      </w:r>
    </w:p>
    <w:p w:rsidR="005D7D5A" w:rsidRDefault="005D7D5A" w:rsidP="005D7D5A">
      <w:pPr>
        <w:pStyle w:val="ZGBFlietext"/>
      </w:pPr>
      <w:r w:rsidRPr="005D7D5A">
        <w:t>Zusätzlich zu geschlechtergerechten Budgets braucht es ein Frauenbudget, das spezifische Maßnahmen im Bereich Beratung, Gewaltschutz etc. fördert. 2013 verfügte das Frauenministerium über 10 Mio. Euro. Dieses Budget wird für die Förderung von Frauenberatungseinrichtungen und spezifischen Frauenprojekten (rd. 50%), für die neun Gewaltschutzzentren in den Landeshauptstädten (rd. 35%) und Bewusstseinsbildungsmaßnahmen verwendet. Angesichts der immer noch großen Benachteiligung von Frauen muss das Frauenbudget substantiell erhöht werden – auf 100 Mio. Euro. Gibt es weniger Ungleichheit, kann es schrittweise reduziert werden. Neben den bisher geförderten Einrichtungen und Maßnahmen soll aus diesem Budget folgendes finanziert werden:</w:t>
      </w:r>
    </w:p>
    <w:p w:rsidR="004839F8" w:rsidRPr="004839F8" w:rsidRDefault="004839F8" w:rsidP="005D7D5A">
      <w:pPr>
        <w:pStyle w:val="ZGBFlietext"/>
        <w:numPr>
          <w:ilvl w:val="0"/>
          <w:numId w:val="31"/>
        </w:numPr>
      </w:pPr>
      <w:r w:rsidRPr="004839F8">
        <w:t>Forschung zu feministischen bzw. Gender/Gleichstellungsthemen</w:t>
      </w:r>
    </w:p>
    <w:p w:rsidR="004839F8" w:rsidRPr="004839F8" w:rsidRDefault="004839F8" w:rsidP="004839F8">
      <w:pPr>
        <w:pStyle w:val="ZGBFlietext"/>
        <w:numPr>
          <w:ilvl w:val="0"/>
          <w:numId w:val="15"/>
        </w:numPr>
      </w:pPr>
      <w:r w:rsidRPr="004839F8">
        <w:t>Feministische und gendersensible Bildung an Schulen</w:t>
      </w:r>
    </w:p>
    <w:p w:rsidR="004839F8" w:rsidRPr="004839F8" w:rsidRDefault="004839F8" w:rsidP="004839F8">
      <w:pPr>
        <w:pStyle w:val="ZGBFlietext"/>
        <w:numPr>
          <w:ilvl w:val="0"/>
          <w:numId w:val="15"/>
        </w:numPr>
      </w:pPr>
      <w:r w:rsidRPr="004839F8">
        <w:t xml:space="preserve">Initiativen aus der feministischen Bewegung (wie z. B. feministische Bibliotheken und feministische bzw. gendersensible Erwachsenenbildung) </w:t>
      </w:r>
    </w:p>
    <w:p w:rsidR="004839F8" w:rsidRPr="004839F8" w:rsidRDefault="004839F8" w:rsidP="004839F8">
      <w:pPr>
        <w:pStyle w:val="ZGBFlietext"/>
        <w:numPr>
          <w:ilvl w:val="0"/>
          <w:numId w:val="15"/>
        </w:numPr>
      </w:pPr>
      <w:r w:rsidRPr="004839F8">
        <w:t>Mädchen- und Frauenberatungsstellen (inkl. Berufsberatungsstellen für Mädchen) sowie Austausch und Plattformen zwischen Wissenschaft, Politik und Frauen bzw. Frauennetzwerken</w:t>
      </w:r>
    </w:p>
    <w:p w:rsidR="004839F8" w:rsidRDefault="004839F8" w:rsidP="004839F8">
      <w:pPr>
        <w:pStyle w:val="ZGBFlietext"/>
        <w:rPr>
          <w:rFonts w:cstheme="minorBidi"/>
          <w:color w:val="auto"/>
        </w:rPr>
      </w:pPr>
    </w:p>
    <w:p w:rsidR="004839F8" w:rsidRDefault="004839F8" w:rsidP="004839F8">
      <w:pPr>
        <w:pStyle w:val="ZGBFlietext"/>
        <w:rPr>
          <w:rFonts w:cstheme="minorBidi"/>
          <w:color w:val="auto"/>
        </w:rPr>
      </w:pPr>
    </w:p>
    <w:p w:rsidR="00C22537" w:rsidRDefault="00C22537" w:rsidP="00AB1A87">
      <w:pPr>
        <w:pStyle w:val="berschrift1"/>
      </w:pPr>
    </w:p>
    <w:p w:rsidR="004839F8" w:rsidRPr="004839F8" w:rsidRDefault="004839F8" w:rsidP="00AB1A87">
      <w:pPr>
        <w:pStyle w:val="berschrift1"/>
      </w:pPr>
      <w:bookmarkStart w:id="7" w:name="_Toc406072750"/>
      <w:r w:rsidRPr="004839F8">
        <w:lastRenderedPageBreak/>
        <w:t>Unsere Erfolgsbilanz</w:t>
      </w:r>
      <w:bookmarkEnd w:id="7"/>
    </w:p>
    <w:p w:rsidR="004839F8" w:rsidRDefault="004839F8" w:rsidP="00E8120E">
      <w:pPr>
        <w:pStyle w:val="ZGBFlietext"/>
      </w:pPr>
    </w:p>
    <w:p w:rsidR="00851882" w:rsidRPr="00851882" w:rsidRDefault="00851882" w:rsidP="00851882">
      <w:pPr>
        <w:pStyle w:val="ZGBEinleitung"/>
      </w:pPr>
      <w:r w:rsidRPr="00851882">
        <w:t>Unsere bisherige Arbeit zeigt: Die Auseinandersetzung mit dem Budget und das Kämpfen für konkrete Alternativen lohnt sich! Einige unserer Vorschläge wurden bereits umgesetzt. Hier ein kurzer Überblick über unsere Erfolge:</w:t>
      </w:r>
    </w:p>
    <w:p w:rsidR="004839F8" w:rsidRDefault="004839F8" w:rsidP="00E8120E">
      <w:pPr>
        <w:pStyle w:val="ZGBFlietext"/>
      </w:pPr>
    </w:p>
    <w:p w:rsidR="00851882" w:rsidRDefault="00851882" w:rsidP="00564093">
      <w:pPr>
        <w:pStyle w:val="ZGBManahme"/>
      </w:pPr>
      <w:r w:rsidRPr="00851882">
        <w:t>Einige Steuerprivilegien auf Kapitaleinkommen abgeschafft</w:t>
      </w:r>
    </w:p>
    <w:p w:rsidR="005D7D5A" w:rsidRPr="005D7D5A" w:rsidRDefault="005D7D5A" w:rsidP="005D7D5A">
      <w:pPr>
        <w:pStyle w:val="ZGBFlietext"/>
      </w:pPr>
      <w:r w:rsidRPr="005D7D5A">
        <w:t xml:space="preserve">Einkommen aus der Lohnarbeit müssen im Zuge der Lohn- und Einkommensteuer mit progressiv steigenden Steuersätzen versteuert werden, jeder Zinsertrag auf einem Sparbuch wird mit der wesentlichen geringeren Kapitalertragssteuer mit einem einheitlichen Steuersatz besteuert. Zinserträge von Geld, das in Stiftungen angelegt ist, sowie der realisierte Wertzuwachs beim Verkauf von Aktien und sonstigen Wertpapieren bzw. beim An- und Verkauf von Immobilien waren bis vor kurzem steuerfrei. Seit dem 1. Jänner 2011 werden Zinserträge von Geld, das in Stiftungen angelegt ist, sowie der realisierte Wertzuwachs bei Wertpapieren (wenn man also Wertpapiere zu einem höheren Wert verkauft als man sie gekauft hat) mit 25% besteuert, außer sie werden wieder veranlagt. Dann gilt die Steuerbefreiung nach wie vor. Seit dem 1. April 2012 sind auch Veräußerungsgewinne, die durch den An- und Verkauf von Immobilien entstehen, grundsätzlich mit 25% besteuert. </w:t>
      </w:r>
    </w:p>
    <w:p w:rsidR="005A5AB7" w:rsidRDefault="005A5AB7" w:rsidP="005A5AB7">
      <w:pPr>
        <w:pStyle w:val="ZGBFlietext"/>
      </w:pPr>
    </w:p>
    <w:p w:rsidR="00851882" w:rsidRDefault="00851882" w:rsidP="00564093">
      <w:pPr>
        <w:pStyle w:val="ZGBManahme"/>
      </w:pPr>
      <w:r w:rsidRPr="00851882">
        <w:t>Steuerprivilegien bei Kapitalgesellschaften reduziert</w:t>
      </w:r>
    </w:p>
    <w:p w:rsidR="005D7D5A" w:rsidRPr="005D7D5A" w:rsidRDefault="005D7D5A" w:rsidP="005D7D5A">
      <w:pPr>
        <w:pStyle w:val="ZGBFlietext"/>
      </w:pPr>
      <w:r w:rsidRPr="005D7D5A">
        <w:t>Mit Februar 2014 wurde die Firmenwertabschreibung abgeschafft. Konzerne konnten sich mit diesem Instrument bei Übernahmen anderer Unternehmen eine Steuergutschrift vom Steuerzahler holen und somit ihre Körperschaftssteuer reduzieren.  Allerdings können bereits getätigte Akquisitionen weiterhin für die Restlaufzeit von bis zu 15 Jahren geltend gemacht werden. Damit wurde eine weitere Reform der Gruppenbesteuerung durchgeführt. Bereits 2012 gab es eine kleine Reform der Gruppenbesteuerung. Bei der Gegenverrechnung von Gewinnen von Firmen mit Sitz in Österreich mit den Verlusten ihrer Auslandstöchter wurde ein Deckel eingezogen. Künftig müssen Verluste der ausländischen Niederlassungen nach österreichischem und nach dem Recht des Landes der Auslandstochter berechnet werden. Gewinne in Österreich dürfen nur mehr mit dem niedrigeren Verlust gegengerechnet werden. Das ist ein erster Schritt in die richtige Richtung, um zu verhindern, dass diese Unternehmen letztlich in Österreich geringe oder gar keine Steuern zahlen. Die Kritik des Rechnungshofes an der österreichischen Gruppenbesteuerung zeigt aber: hier ist noch einiges zu tun.</w:t>
      </w:r>
    </w:p>
    <w:p w:rsidR="00851882" w:rsidRDefault="00851882" w:rsidP="00851882">
      <w:pPr>
        <w:pStyle w:val="ZGBFlietext"/>
      </w:pPr>
    </w:p>
    <w:p w:rsidR="00851882" w:rsidRDefault="00851882" w:rsidP="00564093">
      <w:pPr>
        <w:pStyle w:val="ZGBManahme"/>
      </w:pPr>
      <w:r w:rsidRPr="00851882">
        <w:t>Bankenabgabe eingeführt</w:t>
      </w:r>
    </w:p>
    <w:p w:rsidR="005D7D5A" w:rsidRPr="005D7D5A" w:rsidRDefault="005D7D5A" w:rsidP="005D7D5A">
      <w:pPr>
        <w:pStyle w:val="ZGBFlietext"/>
      </w:pPr>
      <w:r w:rsidRPr="005D7D5A">
        <w:t xml:space="preserve">Banken sind zentrale Finanzmarkt-Akteure und wurden unmittelbar nach Ausbruch der Finanzkrise durch Bankenrettungspakete aufgefangen. Die Einführung der Bankenabgabe per 1. Jänner 2011 stellt sicher, dass sie einen Beitrag zu den Kosten des systemischen Risikos des Kredit- und Handelsgeschäftes leisten. Dieses Risiko muss letztlich aber vor allem durch strenge Regeln für Finanzmarkt-Akteure und Finanzmarktprodukte verringert werden. Diese fehlen zum Teil noch. </w:t>
      </w:r>
    </w:p>
    <w:p w:rsidR="00851882" w:rsidRDefault="00851882" w:rsidP="00851882">
      <w:pPr>
        <w:pStyle w:val="ZGBFlietext"/>
      </w:pPr>
    </w:p>
    <w:p w:rsidR="00851882" w:rsidRDefault="00851882" w:rsidP="00564093">
      <w:pPr>
        <w:pStyle w:val="ZGBManahme"/>
      </w:pPr>
      <w:r w:rsidRPr="00851882">
        <w:t>Einige Umweltschädliche Steuerbefreiungen abgeschafft und Ökosteuern, die der Umwelt nützen, eingeführt</w:t>
      </w:r>
    </w:p>
    <w:p w:rsidR="005D7D5A" w:rsidRPr="005D7D5A" w:rsidRDefault="005D7D5A" w:rsidP="005D7D5A">
      <w:pPr>
        <w:pStyle w:val="ZGBFlietext"/>
      </w:pPr>
      <w:r w:rsidRPr="005D7D5A">
        <w:t xml:space="preserve">Seit 2011 wurden eine Reihe von umweltschädlichen Steuerbefreiungen abgeschafft bzw. reformiert und erste Schritte in Richtung einer </w:t>
      </w:r>
      <w:proofErr w:type="spellStart"/>
      <w:r w:rsidRPr="005D7D5A">
        <w:t>Ökologisierung</w:t>
      </w:r>
      <w:proofErr w:type="spellEnd"/>
      <w:r w:rsidRPr="005D7D5A">
        <w:t xml:space="preserve"> des Steuersystems gesetzt. Nur so kann das Steuersystem einen Beitrag zu nachhaltigerem Wirtschaften leisten. Nachstehend der Überblick über die Reformen:</w:t>
      </w:r>
    </w:p>
    <w:p w:rsidR="00851882" w:rsidRPr="00851882" w:rsidRDefault="00851882" w:rsidP="00851882">
      <w:pPr>
        <w:pStyle w:val="ZGBFlietext"/>
      </w:pPr>
    </w:p>
    <w:p w:rsidR="005D7D5A" w:rsidRPr="005D7D5A" w:rsidRDefault="005D7D5A" w:rsidP="005D7D5A">
      <w:pPr>
        <w:pStyle w:val="ZGBFlietext"/>
        <w:rPr>
          <w:b/>
          <w:bCs/>
          <w:u w:val="single"/>
        </w:rPr>
      </w:pPr>
      <w:r w:rsidRPr="005D7D5A">
        <w:rPr>
          <w:b/>
          <w:bCs/>
          <w:u w:val="single"/>
        </w:rPr>
        <w:t>Reform der Normverbraucherabgabe (</w:t>
      </w:r>
      <w:proofErr w:type="spellStart"/>
      <w:r w:rsidRPr="005D7D5A">
        <w:rPr>
          <w:b/>
          <w:bCs/>
          <w:u w:val="single"/>
        </w:rPr>
        <w:t>NoVA</w:t>
      </w:r>
      <w:proofErr w:type="spellEnd"/>
      <w:r w:rsidRPr="005D7D5A">
        <w:rPr>
          <w:b/>
          <w:bCs/>
          <w:u w:val="single"/>
        </w:rPr>
        <w:t>)</w:t>
      </w:r>
    </w:p>
    <w:p w:rsidR="005D7D5A" w:rsidRPr="005D7D5A" w:rsidRDefault="005D7D5A" w:rsidP="005D7D5A">
      <w:pPr>
        <w:pStyle w:val="ZGBFlietext"/>
      </w:pPr>
      <w:r w:rsidRPr="005D7D5A">
        <w:t xml:space="preserve">Anfang 2014 wurde die </w:t>
      </w:r>
      <w:proofErr w:type="spellStart"/>
      <w:r w:rsidRPr="005D7D5A">
        <w:t>NoVA</w:t>
      </w:r>
      <w:proofErr w:type="spellEnd"/>
      <w:r w:rsidRPr="005D7D5A">
        <w:t xml:space="preserve">, die bei der Neuanmeldung von Motorrädern, Personenkraftwagen, Kombinationskraftwagen, Kleinbussen, Campingbussen und Sonderfahrzeugen einmalig beim Kauf anfällt, reformiert. Unsere Forderung, dass die Berechnung der </w:t>
      </w:r>
      <w:proofErr w:type="spellStart"/>
      <w:r w:rsidRPr="005D7D5A">
        <w:t>NoVA</w:t>
      </w:r>
      <w:proofErr w:type="spellEnd"/>
      <w:r w:rsidRPr="005D7D5A">
        <w:t xml:space="preserve"> nur noch auf der Basis des CO</w:t>
      </w:r>
      <w:r w:rsidRPr="005D7D5A">
        <w:rPr>
          <w:vertAlign w:val="subscript"/>
        </w:rPr>
        <w:t>2</w:t>
      </w:r>
      <w:r w:rsidRPr="005D7D5A">
        <w:t>-Ausstoßes erfolgt, wurde umgesetzt. Die bisherige Formel über den Normverbrauch entfällt. Der Höchststeuersatz wurde letztlich nur auf 32 Prozent angehoben – hier hat die Regierung dem Druck der Automobilhändler nachgegeben. Insgesamt werden durch diese Reform neue Fahrzeuge mit einem höheren CO</w:t>
      </w:r>
      <w:r w:rsidRPr="005D7D5A">
        <w:rPr>
          <w:vertAlign w:val="subscript"/>
        </w:rPr>
        <w:t>2</w:t>
      </w:r>
      <w:r w:rsidRPr="005D7D5A">
        <w:t xml:space="preserve">-Ausstoß teurer. </w:t>
      </w:r>
      <w:r w:rsidRPr="005D7D5A">
        <w:lastRenderedPageBreak/>
        <w:t xml:space="preserve">Damit wird die Lenkungswirkung der </w:t>
      </w:r>
      <w:proofErr w:type="spellStart"/>
      <w:r w:rsidRPr="005D7D5A">
        <w:t>NoVA</w:t>
      </w:r>
      <w:proofErr w:type="spellEnd"/>
      <w:r w:rsidRPr="005D7D5A">
        <w:t xml:space="preserve"> hin zu sparsameren Pkw-Modellen verstärkt. Das verringert sowohl die privaten Kosten für Treibstoffe als auch die volkswirtschaftlichen Kosten für Erdölimporte.  </w:t>
      </w:r>
    </w:p>
    <w:p w:rsidR="00851882" w:rsidRPr="00851882" w:rsidRDefault="00851882" w:rsidP="00851882">
      <w:pPr>
        <w:pStyle w:val="ZGBFlietext"/>
      </w:pPr>
    </w:p>
    <w:p w:rsidR="005D7D5A" w:rsidRPr="005D7D5A" w:rsidRDefault="005D7D5A" w:rsidP="005D7D5A">
      <w:pPr>
        <w:pStyle w:val="ZGBFlietext"/>
        <w:rPr>
          <w:b/>
          <w:bCs/>
          <w:u w:val="single"/>
        </w:rPr>
      </w:pPr>
      <w:r w:rsidRPr="005D7D5A">
        <w:rPr>
          <w:b/>
          <w:bCs/>
          <w:u w:val="single"/>
        </w:rPr>
        <w:t xml:space="preserve">Reform der motorbezogenen Versicherungssteuer (Kfz-Steuer) </w:t>
      </w:r>
    </w:p>
    <w:p w:rsidR="005D7D5A" w:rsidRPr="005D7D5A" w:rsidRDefault="005D7D5A" w:rsidP="005D7D5A">
      <w:pPr>
        <w:pStyle w:val="ZGBFlietext"/>
      </w:pPr>
      <w:r w:rsidRPr="005D7D5A">
        <w:t>Auch diese Steuer wurde 2014 reformiert. Die bestehenden Steuersätze wurden angehoben und nach Leistung gestaffelt. Damit wird die Steuer für PS-starke Autos, die auch mehr CO</w:t>
      </w:r>
      <w:r w:rsidRPr="005D7D5A">
        <w:rPr>
          <w:vertAlign w:val="subscript"/>
        </w:rPr>
        <w:t>2</w:t>
      </w:r>
      <w:r w:rsidRPr="005D7D5A">
        <w:t xml:space="preserve"> ausstoßen, teurer. Allerdings wurde die PS-Zahl als Berechnungsbasis beibehalten, ebenso die Steuerbefreiungen. Unsere Reformvorschläge – vor allem die Abschaffung einer Reihe von Befreiungen – sind daher weiterhin relevant. </w:t>
      </w:r>
    </w:p>
    <w:p w:rsidR="00851882" w:rsidRPr="00851882" w:rsidRDefault="00851882" w:rsidP="00851882">
      <w:pPr>
        <w:pStyle w:val="ZGBFlietext"/>
      </w:pPr>
    </w:p>
    <w:p w:rsidR="005D7D5A" w:rsidRPr="005D7D5A" w:rsidRDefault="005D7D5A" w:rsidP="005D7D5A">
      <w:pPr>
        <w:pStyle w:val="ZGBFlietext"/>
        <w:rPr>
          <w:b/>
          <w:bCs/>
          <w:u w:val="single"/>
        </w:rPr>
      </w:pPr>
      <w:r w:rsidRPr="005D7D5A">
        <w:rPr>
          <w:b/>
          <w:bCs/>
          <w:u w:val="single"/>
        </w:rPr>
        <w:t>Reform der Förderentgelte für bundeseigene fossile Rohstoffe (Erdöl und Erdgas)</w:t>
      </w:r>
    </w:p>
    <w:p w:rsidR="005D7D5A" w:rsidRPr="005D7D5A" w:rsidRDefault="005D7D5A" w:rsidP="005D7D5A">
      <w:pPr>
        <w:pStyle w:val="ZGBFlietext"/>
      </w:pPr>
      <w:r w:rsidRPr="005D7D5A">
        <w:t>Die Förderentgeltregelung für bundeseigene fossile Rohstoffe wurde entlang unserer Vorschläge reformiert. Die Neuregelung sieht vor, dass bei einem Importpreis von bis zu 460 Euro der Förderzins nunmehr 15% beträgt. Ab 670 Euro Importpreis beträgt das Förderentgelt 20%. Damit wurde der Deckel angehoben, ebenso wie der maximale Förderzinssatz um durchschnittlich 25% erhöht. Bis zur Reform lag der Deckel bei 14% ab 400 Euro pro Tonne Rohöl. Trotz dieser erfreulichen Reform wurde unsere Forderung nach dem ersatzlosen Streichen des Deckels beim Förderzinssatz noch nicht zur Gänze umgesetzt.</w:t>
      </w:r>
    </w:p>
    <w:p w:rsidR="00851882" w:rsidRPr="00851882" w:rsidRDefault="00851882" w:rsidP="00851882">
      <w:pPr>
        <w:pStyle w:val="ZGBFlietext"/>
      </w:pPr>
    </w:p>
    <w:p w:rsidR="005D7D5A" w:rsidRPr="005D7D5A" w:rsidRDefault="005D7D5A" w:rsidP="005D7D5A">
      <w:pPr>
        <w:pStyle w:val="ZGBFlietext"/>
        <w:rPr>
          <w:b/>
          <w:bCs/>
          <w:u w:val="single"/>
        </w:rPr>
      </w:pPr>
      <w:r w:rsidRPr="005D7D5A">
        <w:rPr>
          <w:b/>
          <w:bCs/>
          <w:u w:val="single"/>
        </w:rPr>
        <w:t>Mineralölsteuerrückvergütung abgeschafft</w:t>
      </w:r>
    </w:p>
    <w:p w:rsidR="005D7D5A" w:rsidRDefault="005D7D5A" w:rsidP="005D7D5A">
      <w:pPr>
        <w:rPr>
          <w:rFonts w:cs="MinionPro-Regular"/>
          <w:color w:val="000000" w:themeColor="text1"/>
          <w:lang w:val="de-DE"/>
        </w:rPr>
      </w:pPr>
      <w:r w:rsidRPr="005D7D5A">
        <w:rPr>
          <w:rFonts w:cs="MinionPro-Regular"/>
          <w:color w:val="000000" w:themeColor="text1"/>
          <w:lang w:val="de-DE"/>
        </w:rPr>
        <w:t xml:space="preserve">Per 1. Jänner 2013 wurde die Mineralölsteuerrückvergütung abgeschafft. Landwirtinnen und Landwirte, aber auch andere Betriebe wie die ÖBB kamen bisher in den Genuss einer Rückerstattung der Mineralölsteuer. Diese Regelung war weder sozial ausgewogen – große Unternehmen profitierten am meisten – noch war sie ökologisch nachhaltig. </w:t>
      </w:r>
    </w:p>
    <w:p w:rsidR="005D7D5A" w:rsidRPr="005D7D5A" w:rsidRDefault="005D7D5A" w:rsidP="005D7D5A">
      <w:pPr>
        <w:pStyle w:val="ZGBFlietext"/>
        <w:rPr>
          <w:b/>
          <w:bCs/>
          <w:u w:val="single"/>
        </w:rPr>
      </w:pPr>
      <w:r w:rsidRPr="005D7D5A">
        <w:rPr>
          <w:b/>
          <w:bCs/>
          <w:u w:val="single"/>
        </w:rPr>
        <w:t>Steuerbegünstigtes Jobticket eingeführt</w:t>
      </w:r>
    </w:p>
    <w:p w:rsidR="005D7D5A" w:rsidRPr="005D7D5A" w:rsidRDefault="005D7D5A" w:rsidP="005D7D5A">
      <w:pPr>
        <w:pStyle w:val="ZGBFlietext"/>
      </w:pPr>
      <w:r w:rsidRPr="005D7D5A">
        <w:t>Im Dezember 2012 hat die Regierung eine Reform der Pendlerpauschale beschlossen. Dabei wurden zwei Reformvorschläge des Zivilgesellschaftlichen Zukunftsbudgets umgesetzt: die Ausdehnung der Pendlerpauschale auf Teilzeitbeschäftigte und die Einführung eines steuerbegünstigten Jobtickets für den innerstädtischen Verkehr (auch für alle unselbständig Erwerbstätigen, die weniger als 20 km zum Arbeitsplatz zurückzulegen haben).</w:t>
      </w:r>
    </w:p>
    <w:p w:rsidR="005D7D5A" w:rsidRPr="005D7D5A" w:rsidRDefault="005D7D5A" w:rsidP="005D7D5A">
      <w:pPr>
        <w:pStyle w:val="ZGBFlietext"/>
      </w:pPr>
      <w:r w:rsidRPr="005D7D5A">
        <w:t xml:space="preserve">Somit werden zum einen Frauen, die häufig in Teilzeitbeschäftigung sind und bisher diese Pauschale oftmals nicht in Anspruch nehmen konnten, und zum anderen </w:t>
      </w:r>
      <w:proofErr w:type="spellStart"/>
      <w:r w:rsidRPr="005D7D5A">
        <w:t>NutzerInnen</w:t>
      </w:r>
      <w:proofErr w:type="spellEnd"/>
      <w:r w:rsidRPr="005D7D5A">
        <w:t xml:space="preserve"> öffentlicher Verkehrsmittel, die ökologisch nachhaltig mobil sind, nicht mehr benachteiligt. </w:t>
      </w:r>
    </w:p>
    <w:p w:rsidR="005D7D5A" w:rsidRPr="00851882" w:rsidRDefault="005D7D5A" w:rsidP="005D7D5A">
      <w:pPr>
        <w:pStyle w:val="ZGBFlietext"/>
      </w:pPr>
    </w:p>
    <w:p w:rsidR="005D7D5A" w:rsidRPr="005D7D5A" w:rsidRDefault="005D7D5A" w:rsidP="005D7D5A">
      <w:pPr>
        <w:pStyle w:val="ZGBFlietext"/>
        <w:rPr>
          <w:b/>
          <w:bCs/>
          <w:u w:val="single"/>
        </w:rPr>
      </w:pPr>
      <w:r w:rsidRPr="005D7D5A">
        <w:rPr>
          <w:b/>
          <w:bCs/>
          <w:u w:val="single"/>
        </w:rPr>
        <w:t>Energieabgabenrückvergütung reformiert</w:t>
      </w:r>
    </w:p>
    <w:p w:rsidR="005D7D5A" w:rsidRPr="005D7D5A" w:rsidRDefault="005D7D5A" w:rsidP="005D7D5A">
      <w:pPr>
        <w:pStyle w:val="ZGBFlietext"/>
      </w:pPr>
      <w:r w:rsidRPr="005D7D5A">
        <w:t>Bis 2011 gab es viele Unternehmen, bei denen die Höhe der Energieabgabe gedeckelt war – nicht nur abwanderungsgefährdete energieintensive Betriebe, sondern u. a. auch viele Dienstleistungsunternehmen. Seit 2011 kommen Dienstleistungsbetriebe nicht mehr in den Genuss dieser Rückvergütung. Das bedeutet mehr Steuereinnahmen und zugleich mehr Anreize in Energieeffizienz zu investieren.</w:t>
      </w:r>
    </w:p>
    <w:p w:rsidR="005D7D5A" w:rsidRPr="00851882" w:rsidRDefault="005D7D5A" w:rsidP="005D7D5A">
      <w:pPr>
        <w:pStyle w:val="ZGBFlietext"/>
      </w:pPr>
    </w:p>
    <w:p w:rsidR="005D7D5A" w:rsidRPr="005D7D5A" w:rsidRDefault="005D7D5A" w:rsidP="005D7D5A">
      <w:pPr>
        <w:rPr>
          <w:rFonts w:cs="MinionPro-Regular"/>
          <w:b/>
          <w:bCs/>
          <w:color w:val="000000" w:themeColor="text1"/>
          <w:u w:val="single"/>
          <w:lang w:val="de-DE"/>
        </w:rPr>
      </w:pPr>
      <w:r w:rsidRPr="005D7D5A">
        <w:rPr>
          <w:rFonts w:cs="MinionPro-Regular"/>
          <w:b/>
          <w:bCs/>
          <w:color w:val="000000" w:themeColor="text1"/>
          <w:u w:val="single"/>
          <w:lang w:val="de-DE"/>
        </w:rPr>
        <w:t>Flugabgabe eingeführt</w:t>
      </w:r>
      <w:r>
        <w:rPr>
          <w:rFonts w:cs="MinionPro-Regular"/>
          <w:b/>
          <w:bCs/>
          <w:color w:val="000000" w:themeColor="text1"/>
          <w:u w:val="single"/>
          <w:lang w:val="de-DE"/>
        </w:rPr>
        <w:br/>
      </w:r>
      <w:r w:rsidRPr="005D7D5A">
        <w:rPr>
          <w:rFonts w:cs="MinionPro-Regular"/>
          <w:color w:val="000000" w:themeColor="text1"/>
          <w:lang w:val="de-DE"/>
        </w:rPr>
        <w:t xml:space="preserve">2011 wurde eine Flugabgabe nach deutschem Modell eingeführt (8 Euro pro Flug für Kurzstrecken, 20 Euro für Mittelstrecken und 35 Euro für Langstrecken). Das ist ein erster wichtiger Schritt in Richtung Ende der Steuerfreiheit für Kerosin, denn diese ist weder umwelt- noch sozialpolitisch gerechtfertigt. Diese Abgabe ist ein Zwischenschritt. Ziel bleibt es, eine EU-weite Besteuerung von Flugbenzin durchzusetzen. Bedauerlicherweise wurde mit dem Sparpaket im Februar 2012 die Flugabgabe für Kurzstrecken von 8 Euro auf 7 Euro und jene für Mittelstrecken von 20 Euro auf 15 Euro gesenkt.  </w:t>
      </w:r>
    </w:p>
    <w:p w:rsidR="005D7D5A" w:rsidRPr="005D7D5A" w:rsidRDefault="005D7D5A" w:rsidP="005D7D5A">
      <w:pPr>
        <w:pStyle w:val="ZGBFlietext"/>
        <w:rPr>
          <w:rFonts w:cs="Verdana"/>
          <w:b/>
          <w:bCs/>
          <w:sz w:val="28"/>
          <w:szCs w:val="28"/>
        </w:rPr>
      </w:pPr>
      <w:r w:rsidRPr="005D7D5A">
        <w:rPr>
          <w:rFonts w:cs="Verdana"/>
          <w:b/>
          <w:bCs/>
          <w:sz w:val="28"/>
          <w:szCs w:val="28"/>
        </w:rPr>
        <w:t>Pflegefonds verlängert</w:t>
      </w:r>
    </w:p>
    <w:p w:rsidR="005D7D5A" w:rsidRPr="005D7D5A" w:rsidRDefault="005D7D5A" w:rsidP="005D7D5A">
      <w:pPr>
        <w:pStyle w:val="ZGBFlietext"/>
      </w:pPr>
      <w:r w:rsidRPr="005D7D5A">
        <w:t xml:space="preserve">Seit 2011 gibt es einen Pflegefonds. Länder erhalten daraus eine teilweise Abdeckung des Aufwands für die Sicherung und den bedarfsgerechten Aus- und Aufbau des Betreuungs- und Pflegedienstleistungsangebotes in der Langzeitpflege. Der Fonds ist beim Bundesministerium für Arbeit, Soziales und Konsumentenschutz eingerichtet und wird von der Bundesministerin für Arbeit, Soziales und Konsumentenschutz im Einvernehmen mit dem Bundesminister für Finanzen verwaltet. Mit diesem Fonds wird ebenfalls eine transparentere Finanzierung der Pflege gewährleistet. Erstmals wurden einheitliche Leistungsdefinitionen der </w:t>
      </w:r>
      <w:r w:rsidRPr="005D7D5A">
        <w:lastRenderedPageBreak/>
        <w:t xml:space="preserve">genannten Betreuungs- und Pflegedienstleistungen in der Langzeitpflege im Einvernehmen mit den Ländern sowie mit dem Gemeinde- und Städtebund entwickelt und </w:t>
      </w:r>
      <w:proofErr w:type="spellStart"/>
      <w:r w:rsidRPr="005D7D5A">
        <w:t>verankert.Ursprünglich</w:t>
      </w:r>
      <w:proofErr w:type="spellEnd"/>
      <w:r w:rsidRPr="005D7D5A">
        <w:t xml:space="preserve"> wurde der Pflegefonds mit insgesamt 685 Mio. Euro für eine Laufzeit bis 2014 dotiert. 2013 wurde eine erste Verlängerung bis 2016 beschlossen, mit insgesamt 650 Mio. Euro für zwei Jahre. Mittlerweile ist der Pflegefonds nochmals (bis 2018) verlängert worden und ist mit insgesamt 700 Mio. Euro dotiert. </w:t>
      </w:r>
    </w:p>
    <w:p w:rsidR="00851882" w:rsidRDefault="00851882" w:rsidP="00851882">
      <w:pPr>
        <w:pStyle w:val="ZGBFlietext"/>
      </w:pPr>
    </w:p>
    <w:p w:rsidR="00851882" w:rsidRDefault="00851882" w:rsidP="00564093">
      <w:pPr>
        <w:pStyle w:val="ZGBManahme"/>
      </w:pPr>
      <w:r w:rsidRPr="00851882">
        <w:t>Mehr Geld für Kinderbetreuung, Schulen und Universitäten</w:t>
      </w:r>
    </w:p>
    <w:p w:rsidR="005D7D5A" w:rsidRPr="005D7D5A" w:rsidRDefault="005D7D5A" w:rsidP="005D7D5A">
      <w:pPr>
        <w:rPr>
          <w:rFonts w:cs="MinionPro-Regular"/>
          <w:color w:val="000000" w:themeColor="text1"/>
          <w:lang w:val="de-DE"/>
        </w:rPr>
      </w:pPr>
      <w:r w:rsidRPr="005D7D5A">
        <w:rPr>
          <w:rFonts w:cs="MinionPro-Regular"/>
          <w:color w:val="000000" w:themeColor="text1"/>
          <w:lang w:val="de-DE"/>
        </w:rPr>
        <w:t xml:space="preserve">Im Juni 2014 haben sich Bund und Länder auf einen weiteren Ausbau der Kinderbetreuung geeinigt und zusätzliche Mittel im Rahmen einer neuen „15a Bund-Länder Vereinbarung“ beschlossen. 305 Mio. Euro wird der Bund den Ländern in den kommenden vier Jahren als Anschubfinanzierung zur Verfügung stellen, die Bundesländer erhöhen im Zuge der </w:t>
      </w:r>
      <w:proofErr w:type="spellStart"/>
      <w:r w:rsidRPr="005D7D5A">
        <w:rPr>
          <w:rFonts w:cs="MinionPro-Regular"/>
          <w:color w:val="000000" w:themeColor="text1"/>
          <w:lang w:val="de-DE"/>
        </w:rPr>
        <w:t>Kofinanzierung</w:t>
      </w:r>
      <w:proofErr w:type="spellEnd"/>
      <w:r w:rsidRPr="005D7D5A">
        <w:rPr>
          <w:rFonts w:cs="MinionPro-Regular"/>
          <w:color w:val="000000" w:themeColor="text1"/>
          <w:lang w:val="de-DE"/>
        </w:rPr>
        <w:t xml:space="preserve"> diese Summe um weitere rund 135 Mio. Euro. Schwerpunkt ist der Ausbau der Betreuungsplätze für die Unter-Dreijährigen. In den kommenden vier Jahren will Österreich rund 30.000 neue Betreuungsplätze in dieser Alterskategorie schaffen und damit das sogenannte Barcelona Ziel erreichen (Betreuungsquote </w:t>
      </w:r>
      <w:r w:rsidR="0052194E">
        <w:rPr>
          <w:rFonts w:cs="MinionPro-Regular"/>
          <w:color w:val="000000" w:themeColor="text1"/>
          <w:lang w:val="de-DE"/>
        </w:rPr>
        <w:t xml:space="preserve">von 33% bei Unter-Dreijährigen). </w:t>
      </w:r>
      <w:r w:rsidR="0052194E">
        <w:rPr>
          <w:rFonts w:cs="MinionPro-Regular"/>
          <w:color w:val="000000" w:themeColor="text1"/>
          <w:lang w:val="de-DE"/>
        </w:rPr>
        <w:br/>
      </w:r>
      <w:r w:rsidRPr="005D7D5A">
        <w:rPr>
          <w:rFonts w:cs="MinionPro-Regular"/>
          <w:color w:val="000000" w:themeColor="text1"/>
          <w:lang w:val="de-DE"/>
        </w:rPr>
        <w:t>Für Schulen werden seit 2013 jährlich rund 300 Mio. Euro mehr zur Verfügung gestellt, für die Universitäten sind es 250 Mio.  Euro pro Jahr. Für die Forschungsförderung werden bis 2016 jährlich 100 Mio.  Euro zusätzlich ausgegeben.  Auch das sind Schritte in die richtige Richtung, aber noch bei weitem zu wenig.</w:t>
      </w:r>
    </w:p>
    <w:p w:rsidR="0052194E" w:rsidRDefault="0052194E" w:rsidP="0052194E">
      <w:pPr>
        <w:pStyle w:val="ZGBFlietext"/>
        <w:rPr>
          <w:rFonts w:cs="Verdana"/>
          <w:b/>
          <w:bCs/>
          <w:sz w:val="28"/>
          <w:szCs w:val="28"/>
          <w:lang w:val="de-AT"/>
        </w:rPr>
      </w:pPr>
      <w:r>
        <w:rPr>
          <w:rFonts w:cs="Verdana"/>
          <w:b/>
          <w:bCs/>
          <w:sz w:val="28"/>
          <w:szCs w:val="28"/>
        </w:rPr>
        <w:t xml:space="preserve">Beteiligung Österreichs </w:t>
      </w:r>
      <w:r w:rsidRPr="0052194E">
        <w:rPr>
          <w:rFonts w:cs="Verdana"/>
          <w:b/>
          <w:bCs/>
          <w:sz w:val="28"/>
          <w:szCs w:val="28"/>
          <w:lang w:val="de-AT"/>
        </w:rPr>
        <w:t xml:space="preserve">an </w:t>
      </w:r>
      <w:proofErr w:type="spellStart"/>
      <w:r w:rsidRPr="0052194E">
        <w:rPr>
          <w:rFonts w:cs="Verdana"/>
          <w:b/>
          <w:bCs/>
          <w:sz w:val="28"/>
          <w:szCs w:val="28"/>
          <w:lang w:val="de-AT"/>
        </w:rPr>
        <w:t>Resettlement</w:t>
      </w:r>
      <w:proofErr w:type="spellEnd"/>
      <w:r w:rsidRPr="0052194E">
        <w:rPr>
          <w:rFonts w:cs="Verdana"/>
          <w:b/>
          <w:bCs/>
          <w:sz w:val="28"/>
          <w:szCs w:val="28"/>
          <w:lang w:val="de-AT"/>
        </w:rPr>
        <w:t xml:space="preserve"> Aktionen </w:t>
      </w:r>
    </w:p>
    <w:p w:rsidR="006738E5" w:rsidRPr="00AB1A87" w:rsidRDefault="0052194E" w:rsidP="00AB1A87">
      <w:pPr>
        <w:rPr>
          <w:rFonts w:cs="MinionPro-Regular"/>
          <w:color w:val="000000" w:themeColor="text1"/>
          <w:lang w:val="de-DE"/>
        </w:rPr>
      </w:pPr>
      <w:r w:rsidRPr="0052194E">
        <w:rPr>
          <w:rFonts w:cs="MinionPro-Regular"/>
          <w:color w:val="000000" w:themeColor="text1"/>
          <w:lang w:val="de-DE"/>
        </w:rPr>
        <w:t xml:space="preserve">Ein, wenn auch zaghafter, positiver Schritt wurde hingegen mit der Beteiligung an </w:t>
      </w:r>
      <w:proofErr w:type="spellStart"/>
      <w:r w:rsidRPr="0052194E">
        <w:rPr>
          <w:rFonts w:cs="MinionPro-Regular"/>
          <w:color w:val="000000" w:themeColor="text1"/>
          <w:lang w:val="de-DE"/>
        </w:rPr>
        <w:t>Resettlement</w:t>
      </w:r>
      <w:proofErr w:type="spellEnd"/>
      <w:r w:rsidRPr="0052194E">
        <w:rPr>
          <w:rFonts w:cs="MinionPro-Regular"/>
          <w:color w:val="000000" w:themeColor="text1"/>
          <w:lang w:val="de-DE"/>
        </w:rPr>
        <w:t xml:space="preserve">-Aktionen der UNO (d. h. Neuansiedlung von anerkannten Flüchtlingen aus Flüchtlingslagern in stabilen Ländern) gesetzt. Knapp 500 syrische Flüchtlinge wurden bisher durch eine </w:t>
      </w:r>
      <w:proofErr w:type="spellStart"/>
      <w:r w:rsidRPr="0052194E">
        <w:rPr>
          <w:rFonts w:cs="MinionPro-Regular"/>
          <w:color w:val="000000" w:themeColor="text1"/>
          <w:lang w:val="de-DE"/>
        </w:rPr>
        <w:t>Resettlement</w:t>
      </w:r>
      <w:proofErr w:type="spellEnd"/>
      <w:r w:rsidRPr="0052194E">
        <w:rPr>
          <w:rFonts w:cs="MinionPro-Regular"/>
          <w:color w:val="000000" w:themeColor="text1"/>
          <w:lang w:val="de-DE"/>
        </w:rPr>
        <w:t xml:space="preserve">-Aktion aufgenommen. </w:t>
      </w:r>
      <w:r w:rsidR="00AB1A87">
        <w:rPr>
          <w:rFonts w:cs="MinionPro-Regular"/>
          <w:color w:val="000000" w:themeColor="text1"/>
          <w:lang w:val="de-DE"/>
        </w:rPr>
        <w:t xml:space="preserve">Weitere tausend sollen folgen. </w:t>
      </w:r>
    </w:p>
    <w:p w:rsidR="006738E5" w:rsidRDefault="006738E5" w:rsidP="00851882">
      <w:pPr>
        <w:pStyle w:val="ZGBFlietext"/>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C22537" w:rsidRDefault="00C22537" w:rsidP="00C22537">
      <w:pPr>
        <w:pStyle w:val="berschrift1"/>
        <w:ind w:left="0" w:firstLine="0"/>
      </w:pPr>
    </w:p>
    <w:p w:rsidR="0052194E" w:rsidRPr="0052194E" w:rsidRDefault="0052194E" w:rsidP="00C22537">
      <w:pPr>
        <w:pStyle w:val="berschrift1"/>
        <w:ind w:left="0" w:firstLine="0"/>
      </w:pPr>
      <w:bookmarkStart w:id="8" w:name="_Toc406072751"/>
      <w:r w:rsidRPr="0052194E">
        <w:lastRenderedPageBreak/>
        <w:t>Das Zukunftsbudget 2015 im Überblick und</w:t>
      </w:r>
      <w:bookmarkEnd w:id="8"/>
      <w:r w:rsidRPr="0052194E">
        <w:t xml:space="preserve"> </w:t>
      </w:r>
    </w:p>
    <w:p w:rsidR="0052194E" w:rsidRPr="00AB1A87" w:rsidRDefault="0052194E" w:rsidP="0052194E">
      <w:pPr>
        <w:pStyle w:val="ZGBAbschnitt"/>
        <w:rPr>
          <w:i/>
          <w:lang w:val="de-AT"/>
        </w:rPr>
      </w:pPr>
      <w:r w:rsidRPr="0052194E">
        <w:rPr>
          <w:lang w:val="de-AT"/>
        </w:rPr>
        <w:t>makroökonomische Beurteilung</w:t>
      </w:r>
    </w:p>
    <w:p w:rsidR="00851882" w:rsidRPr="00851882" w:rsidRDefault="00851882" w:rsidP="00851882">
      <w:pPr>
        <w:pStyle w:val="ZGBEinleitung"/>
      </w:pPr>
    </w:p>
    <w:p w:rsidR="0052194E" w:rsidRDefault="0052194E" w:rsidP="0052194E">
      <w:pPr>
        <w:pStyle w:val="ZGBEinleitung"/>
      </w:pPr>
      <w:r w:rsidRPr="0052194E">
        <w:t>Das Zukunftsbudget sieht zusätzliche Einnahmen von knapp 11,8 Mrd. Euro und zusätzliche Ausgaben von circa 13,8 Mrd. Euro vor. Unterm Strich sind die Auswirkungen auf das Budget jedoch positiv, d. h. trotz höherer zusätzlicher Ausgaben als zusätzlicher Einnahmen werden in Summe weniger neue Schulden gemacht. Warum? Während höhere Steuern auf Vermögen, Unternehmen und Energie die wirtschaftliche Aktivität dämpfen, erhöhen öffentliche Investitionen sowie die Senkung der Lohn- und Einkommensteuer das Bruttoinlandsprodukt (BIP). Netto ergibt sich – unter den konventionellen Annahmen</w:t>
      </w:r>
      <w:r>
        <w:rPr>
          <w:rStyle w:val="Funotenzeichen"/>
        </w:rPr>
        <w:footnoteReference w:id="2"/>
      </w:r>
      <w:r w:rsidRPr="0052194E">
        <w:t xml:space="preserve">  – ein positiver BIP-Effekt, was wiederum zu höheren Einnahmen und geringeren Ausgaben führt. Dieser Effekt lässt sich mit knapp 2,4 Mrd. Euro berechnen. Das laufende Defizit verringert sich folgerichtig um gut 400 Mio. Euro (11,8-13,8+2,4). Mit anderen Worten, nach Berücksichtigung der makroökonomischen Zweitrundeneffekte werden nicht mehr, sondern weniger neue Schulden gemacht. Zeitgleich werden laut den vorhandenen Berechnungen über die Arbeitsplatzeffekte der Zukunftsinvestitionen, auf die wir in diesem Budget verweisen, rund 160.000 Arbeitsplätze geschaffen.</w:t>
      </w:r>
    </w:p>
    <w:p w:rsidR="0052194E" w:rsidRDefault="0052194E" w:rsidP="0052194E">
      <w:pPr>
        <w:pStyle w:val="ZGBEinleitung"/>
      </w:pPr>
    </w:p>
    <w:p w:rsidR="0052194E" w:rsidRPr="0052194E" w:rsidRDefault="00542FE3" w:rsidP="0052194E">
      <w:pPr>
        <w:pStyle w:val="ZGBEinleitung"/>
      </w:pPr>
      <w:r>
        <w:rPr>
          <w:noProof/>
          <w:lang w:val="de-AT" w:eastAsia="de-AT"/>
        </w:rPr>
        <w:drawing>
          <wp:inline distT="0" distB="0" distL="0" distR="0">
            <wp:extent cx="6241415" cy="4401820"/>
            <wp:effectExtent l="0" t="0" r="6985" b="0"/>
            <wp:docPr id="5" name="Grafik 5" descr="X:\WadK\Alternatives Budget\2015\Grafiken\Bud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WadK\Alternatives Budget\2015\Grafiken\Budget.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41415" cy="4401820"/>
                    </a:xfrm>
                    <a:prstGeom prst="rect">
                      <a:avLst/>
                    </a:prstGeom>
                    <a:noFill/>
                    <a:ln>
                      <a:noFill/>
                    </a:ln>
                  </pic:spPr>
                </pic:pic>
              </a:graphicData>
            </a:graphic>
          </wp:inline>
        </w:drawing>
      </w:r>
    </w:p>
    <w:p w:rsidR="00851882" w:rsidRDefault="00851882" w:rsidP="00851882">
      <w:pPr>
        <w:pStyle w:val="ZGBEinleitung"/>
      </w:pPr>
    </w:p>
    <w:p w:rsidR="00851882" w:rsidRDefault="00851882" w:rsidP="00851882">
      <w:pPr>
        <w:pStyle w:val="ZGBEinleitung"/>
      </w:pPr>
    </w:p>
    <w:p w:rsidR="0052194E" w:rsidRPr="0052194E" w:rsidRDefault="0052194E" w:rsidP="0052194E">
      <w:pPr>
        <w:pStyle w:val="ZGBEinleitung"/>
        <w:rPr>
          <w:bCs/>
        </w:rPr>
      </w:pPr>
      <w:r w:rsidRPr="0052194E">
        <w:rPr>
          <w:bCs/>
        </w:rPr>
        <w:t>Zum besseren Verständnis der Wirkungsmechanismen kann das Zukunftsbudget in zwei Pakete unterteilt werden:</w:t>
      </w:r>
    </w:p>
    <w:p w:rsidR="00851882" w:rsidRDefault="00851882" w:rsidP="00851882">
      <w:pPr>
        <w:pStyle w:val="ZGBEinleitung"/>
      </w:pPr>
    </w:p>
    <w:p w:rsidR="0052194E" w:rsidRPr="0052194E" w:rsidRDefault="0052194E" w:rsidP="0052194E">
      <w:pPr>
        <w:pStyle w:val="ZGBManahme"/>
      </w:pPr>
      <w:r w:rsidRPr="0052194E">
        <w:t>Paket 1</w:t>
      </w:r>
    </w:p>
    <w:p w:rsidR="0052194E" w:rsidRPr="0052194E" w:rsidRDefault="0052194E" w:rsidP="0052194E">
      <w:r w:rsidRPr="0052194E">
        <w:t xml:space="preserve">Paket 1 umfasst die Senkung der Lohn- und Einkommensteuer im Volumen von 6,7 Mrd. Euro sowie zusätzliche Maßnahmen zur Stärkung des verfügbaren Einkommens der privaten Haushalte im Volumen von </w:t>
      </w:r>
      <w:r w:rsidRPr="0052194E">
        <w:lastRenderedPageBreak/>
        <w:t xml:space="preserve">1,8 Mrd. Euro, finanziert durch vermögensbezogene Steuern sowie den Abbau von Steuerprivilegien für </w:t>
      </w:r>
      <w:proofErr w:type="spellStart"/>
      <w:r w:rsidRPr="0052194E">
        <w:t>KapitaleinkommensbezieherInnen</w:t>
      </w:r>
      <w:proofErr w:type="spellEnd"/>
      <w:r w:rsidRPr="0052194E">
        <w:t xml:space="preserve"> im Volumen von 7,6 Mrd. Euro (insbesondere durch die Bekämpfung von Steuerflucht). Diese Strukturreform in der Besteuerung der privaten Haushalte hat positive makroökonomische Effekte, weil jene Menschen, die sich im unteren und mittleren Einkommensdrittel befinden, durch diese Reform mehr verfügbares Einkommen haben, welches sie auch ausgeben. Das oberste Einkommensdrittel muss mehr Steuern zahlen, wird aber nicht weniger konsumieren, sondern die höhere Steuer durch weniger Sparen finanzieren. Mit anderen Worten, Paket 1 stärkt den privaten Konsum und damit direkt das BIP. Hinzu kommt ein indirekter Kanal, der über die Investitionen wirkt. Aktuell ist der schleppende Konsum ein wesentlicher Grund für die schwache Investitionsnachfrage der Unternehmen. Eine Stärkung des privaten Konsums würde also auch zu höheren Investitionen, zu neuen Arbeitsplätzen und damit wiederum zur Stärkung des Konsums und des BIPs beitragen (Multiplikator-Akzelerator-Effekt).</w:t>
      </w:r>
    </w:p>
    <w:p w:rsidR="0052194E" w:rsidRDefault="0052194E" w:rsidP="00851882">
      <w:pPr>
        <w:pStyle w:val="ZGBEinleitung"/>
      </w:pPr>
    </w:p>
    <w:p w:rsidR="00851882" w:rsidRDefault="0052194E" w:rsidP="0052194E">
      <w:pPr>
        <w:rPr>
          <w:lang w:val="de-DE"/>
        </w:rPr>
      </w:pPr>
      <w:r w:rsidRPr="0052194E">
        <w:rPr>
          <w:rFonts w:cs="Verdana"/>
          <w:b/>
          <w:bCs/>
          <w:sz w:val="28"/>
          <w:szCs w:val="28"/>
          <w:lang w:val="de-DE"/>
        </w:rPr>
        <w:t>Paket 2</w:t>
      </w:r>
      <w:r>
        <w:rPr>
          <w:rFonts w:cs="Verdana"/>
          <w:b/>
          <w:bCs/>
          <w:sz w:val="28"/>
          <w:szCs w:val="28"/>
          <w:lang w:val="de-DE"/>
        </w:rPr>
        <w:br/>
      </w:r>
      <w:r w:rsidRPr="0052194E">
        <w:rPr>
          <w:lang w:val="de-DE"/>
        </w:rPr>
        <w:t xml:space="preserve">Paket 2 umfasst ein öffentliches Investitionsprogramm (insbesondere in soziale Dienstleistungen und Bildung) im Volumen von ca. 4 Mrd. Euro, finanziert durch Anpassungen in der Unternehmensbesteuerung sowie höhere Ökosteuern im Volumen von ca. 4 Mrd. Euro. Öffentliche Investitionen in soziale Dienstleistungen und Bildung fördern unmittelbar Wachstum und Beschäftigung. Zugleich bedeuten diese Investitionen auch, dass mehr qualifizierte Jobs angeboten werden, die auch langfristig für ein qualitatives Wachstum wirksam sind. Höhere Unternehmenssteuern hingegen haben in der gegenwärtigen konjunkturellen Situation kaum negative Effekte auf die Investitionstätigkeit, da ohnehin nicht investiert wird solange der private Konsum schwächelt (siehe oben). Hinzu kommt eine Arbeitszeitverkürzungsinitiative von gut 800 Mio. Euro, die ebenfalls beschäftigungsfördernd wirkt. </w:t>
      </w:r>
      <w:r>
        <w:rPr>
          <w:lang w:val="de-DE"/>
        </w:rPr>
        <w:br/>
      </w:r>
      <w:r w:rsidRPr="0052194E">
        <w:rPr>
          <w:lang w:val="de-DE"/>
        </w:rPr>
        <w:t>Die Tabelle fasst die makroökonomischen Auswirkungen des Zivilgesellschaftlichen Zukunftsbudgets zusammen. Durch den Anstieg der wirtschaftlichen Aktivität um ca. 4,8 Mrd. Euro sinkt die Arbeitslosenquote um 0,7 Prozentpunkte. Die Defizitquote 2015 sinkt leicht auf 1,4 Prozent (das sind 400 Mio. Euro), die Schuldenquote geht um 1,3 Prozentpunkte auf knapp 78 Prozent zurück.</w:t>
      </w:r>
    </w:p>
    <w:p w:rsidR="0052194E" w:rsidRPr="0052194E" w:rsidRDefault="00542FE3" w:rsidP="0052194E">
      <w:pPr>
        <w:rPr>
          <w:lang w:val="de-DE"/>
        </w:rPr>
      </w:pPr>
      <w:r>
        <w:rPr>
          <w:noProof/>
          <w:lang w:eastAsia="de-AT"/>
        </w:rPr>
        <w:drawing>
          <wp:inline distT="0" distB="0" distL="0" distR="0">
            <wp:extent cx="6528391" cy="3725480"/>
            <wp:effectExtent l="0" t="0" r="6350" b="8890"/>
            <wp:docPr id="10" name="Grafik 10" descr="X:\WadK\Alternatives Budget\2015\Grafiken\Mak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WadK\Alternatives Budget\2015\Grafiken\Makr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29929" cy="3726358"/>
                    </a:xfrm>
                    <a:prstGeom prst="rect">
                      <a:avLst/>
                    </a:prstGeom>
                    <a:noFill/>
                    <a:ln>
                      <a:noFill/>
                    </a:ln>
                  </pic:spPr>
                </pic:pic>
              </a:graphicData>
            </a:graphic>
          </wp:inline>
        </w:drawing>
      </w:r>
    </w:p>
    <w:p w:rsidR="006738E5" w:rsidRDefault="006738E5" w:rsidP="00851882">
      <w:pPr>
        <w:pStyle w:val="ZGBEinleitung"/>
      </w:pPr>
    </w:p>
    <w:p w:rsidR="0052194E" w:rsidRDefault="0052194E" w:rsidP="00AB1A87">
      <w:pPr>
        <w:pStyle w:val="berschrift1"/>
        <w:ind w:left="0" w:firstLine="0"/>
      </w:pPr>
      <w:bookmarkStart w:id="9" w:name="_Toc406072752"/>
      <w:r>
        <w:lastRenderedPageBreak/>
        <w:t xml:space="preserve">Investitionen in </w:t>
      </w:r>
      <w:r w:rsidRPr="0052194E">
        <w:rPr>
          <w:lang w:val="de-AT"/>
        </w:rPr>
        <w:t>die Zukunft</w:t>
      </w:r>
      <w:bookmarkEnd w:id="9"/>
    </w:p>
    <w:p w:rsidR="0052194E" w:rsidRPr="00851882" w:rsidRDefault="0052194E" w:rsidP="0052194E">
      <w:pPr>
        <w:pStyle w:val="ZGBEinleitung"/>
      </w:pPr>
    </w:p>
    <w:p w:rsidR="0052194E" w:rsidRDefault="0052194E" w:rsidP="0052194E">
      <w:pPr>
        <w:pStyle w:val="ZGBEinleitung"/>
      </w:pPr>
      <w:r w:rsidRPr="0052194E">
        <w:t>Wir brauchen jetzt Zukunftsinvestitionen in Sozialstaat und ökologische Nachhaltigkeit, um einer sozial gerechteren und ökologisch nachhaltigeren Wirtschaft und Gesellschaft näherzukommen. Die gegenwärtige Krisenpolitik zeigt, dass Kürzungsmaßnahmen in Krisenzeiten die sozialen und wirtschaftlichen Bedingungen verschlechtern. Und die bislang getätigten Mehrausgaben im Bildungsbereich, für Pflege und thermische Sanierung sind zu wenig. Ein Mehr an Zukunftsinvestitionen ist daher notwendiger denn je. Unsere Zukunftsinvestitionen stellen sicher, dass die vorhandenen Mittel im Sinne einer sozial gerechten und ökologisch nachhaltigen Wirtschaft und Gesellschaft verwendet werden und dass wichtige Herausforderungen wie suchend nachhaltige Antworten auf den Klimawandel nicht auf der Strecke bleiben. Sie schaffen mehr als 160.000 gesellschaftlich sinnvolle Beschäftigungsmöglichkeiten, die angesichts der steigenden Zahl der Arbeitslosen in Österreich notwendig sind. Damit reduzieren sie gleichzeitig die Ausgaben für Arbeitslosengeld oder Mindestsicherung. Je mehr Menschen über ein Einkommen verfügen, das für ein gutes Leben reicht, desto eher und mehr können sie auch mit ihren Steuern und Abgaben einen Beitrag zum öffentlichen Budget leisten. Je mehr jetzt in Klimaschutz und nachhaltige Mobilität investiert wird, desto besser wird unsere Gesellschaft für das Ende des fossilen Zeitalters (Energiegewinnung ohne Erdöl, Erdgas, …) gerüstet sein. Die hier vorgestellten ergänzenden Zukunftsinvestitionen sind ein solidarischer und nachhaltiger Weg aus der Krise!</w:t>
      </w: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B1A87" w:rsidRDefault="00AB1A87" w:rsidP="0052194E">
      <w:pPr>
        <w:pStyle w:val="ZGBEinleitung"/>
      </w:pPr>
    </w:p>
    <w:p w:rsidR="00A9787B" w:rsidRDefault="00A9787B" w:rsidP="0052194E">
      <w:pPr>
        <w:pStyle w:val="ZGBEinleitung"/>
      </w:pPr>
    </w:p>
    <w:p w:rsidR="00A9787B" w:rsidRDefault="00A9787B" w:rsidP="0052194E">
      <w:pPr>
        <w:pStyle w:val="ZGBEinleitung"/>
      </w:pPr>
    </w:p>
    <w:p w:rsidR="00A9787B" w:rsidRPr="0052194E" w:rsidRDefault="00A9787B" w:rsidP="0052194E">
      <w:pPr>
        <w:pStyle w:val="ZGBEinleitung"/>
      </w:pPr>
    </w:p>
    <w:p w:rsidR="006738E5" w:rsidRPr="00851882" w:rsidRDefault="006738E5" w:rsidP="00851882">
      <w:pPr>
        <w:pStyle w:val="ZGBEinleitung"/>
      </w:pPr>
    </w:p>
    <w:p w:rsidR="00BC78E2" w:rsidRPr="00BC78E2" w:rsidRDefault="00BC78E2" w:rsidP="00851882">
      <w:pPr>
        <w:rPr>
          <w:b/>
          <w:bCs/>
          <w:i/>
          <w:iCs/>
          <w:lang w:val="de-DE"/>
        </w:rPr>
      </w:pPr>
    </w:p>
    <w:p w:rsidR="00AB1A87" w:rsidRDefault="00AB1A87" w:rsidP="009A6654">
      <w:pPr>
        <w:pStyle w:val="berschrift2"/>
      </w:pPr>
    </w:p>
    <w:p w:rsidR="00AB1A87" w:rsidRDefault="00AB1A87" w:rsidP="009A6654">
      <w:pPr>
        <w:pStyle w:val="berschrift2"/>
      </w:pPr>
    </w:p>
    <w:p w:rsidR="00AB1A87" w:rsidRDefault="00AB1A87" w:rsidP="009A6654">
      <w:pPr>
        <w:pStyle w:val="berschrift2"/>
      </w:pPr>
    </w:p>
    <w:p w:rsidR="00C22537" w:rsidRDefault="00C22537" w:rsidP="009A6654">
      <w:pPr>
        <w:pStyle w:val="berschrift2"/>
      </w:pPr>
      <w:bookmarkStart w:id="10" w:name="_Toc403394415"/>
    </w:p>
    <w:bookmarkEnd w:id="10"/>
    <w:p w:rsidR="00C22537" w:rsidRDefault="00422231" w:rsidP="009A6654">
      <w:pPr>
        <w:pStyle w:val="berschrift2"/>
      </w:pPr>
      <w:r>
        <w:rPr>
          <w:noProof/>
          <w:lang w:val="de-AT" w:eastAsia="de-AT"/>
        </w:rPr>
        <w:lastRenderedPageBreak/>
        <w:drawing>
          <wp:inline distT="0" distB="0" distL="0" distR="0">
            <wp:extent cx="6241415" cy="8453120"/>
            <wp:effectExtent l="0" t="0" r="6985" b="5080"/>
            <wp:docPr id="7" name="Grafik 7" descr="X:\WadK\Alternatives Budget\2015\Grafiken\Investition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WadK\Alternatives Budget\2015\Grafiken\Investitione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41415" cy="8453120"/>
                    </a:xfrm>
                    <a:prstGeom prst="rect">
                      <a:avLst/>
                    </a:prstGeom>
                    <a:noFill/>
                    <a:ln>
                      <a:noFill/>
                    </a:ln>
                  </pic:spPr>
                </pic:pic>
              </a:graphicData>
            </a:graphic>
          </wp:inline>
        </w:drawing>
      </w:r>
      <w:r w:rsidR="00C22537">
        <w:t xml:space="preserve"> </w:t>
      </w:r>
    </w:p>
    <w:p w:rsidR="00422231" w:rsidRDefault="00422231" w:rsidP="009A6654">
      <w:pPr>
        <w:pStyle w:val="berschrift2"/>
      </w:pPr>
      <w:bookmarkStart w:id="11" w:name="_Toc406072754"/>
    </w:p>
    <w:p w:rsidR="00422231" w:rsidRDefault="00422231" w:rsidP="009A6654">
      <w:pPr>
        <w:pStyle w:val="berschrift2"/>
      </w:pPr>
    </w:p>
    <w:p w:rsidR="00FE2B48" w:rsidRDefault="00FE2B48" w:rsidP="009A6654">
      <w:pPr>
        <w:pStyle w:val="berschrift2"/>
      </w:pPr>
    </w:p>
    <w:p w:rsidR="00C0696A" w:rsidRDefault="00C0696A" w:rsidP="009A6654">
      <w:pPr>
        <w:pStyle w:val="berschrift2"/>
      </w:pPr>
      <w:r>
        <w:lastRenderedPageBreak/>
        <w:t>Sozial gerecht und solidarisch aus der Energiekrise!</w:t>
      </w:r>
      <w:bookmarkEnd w:id="11"/>
    </w:p>
    <w:p w:rsidR="00851882" w:rsidRPr="00C0696A" w:rsidRDefault="00851882" w:rsidP="00C0696A">
      <w:pPr>
        <w:pStyle w:val="ZGBEinleitung"/>
      </w:pPr>
    </w:p>
    <w:p w:rsidR="00C0696A" w:rsidRPr="00C0696A" w:rsidRDefault="00C0696A" w:rsidP="00C0696A">
      <w:pPr>
        <w:pStyle w:val="ZGBEinleitung"/>
      </w:pPr>
      <w:r>
        <w:t>W</w:t>
      </w:r>
      <w:r w:rsidRPr="00C0696A">
        <w:t xml:space="preserve">ir brauchen jetzt Investitionen in ein ökologisch nachhaltiges Energiesystem. Sowohl um unseren Verbrauch von Energie zu reduzieren als auch um deren Erzeugung umzustellen, müssen wir mit Zukunftsinvestitionen lenkend eingreifen. Sei es mit mehr Mitteln für thermische Sanierung, für eine Förderung dezentraler umweltfreundlicher Stromerzeugung oder für Maßnahmen zur Erreichung der Klimaziele. Das Zivilgesellschaftliche Zukunftsbudget zeigt, dass </w:t>
      </w:r>
      <w:proofErr w:type="spellStart"/>
      <w:r w:rsidRPr="00C0696A">
        <w:t>Ökologisierung</w:t>
      </w:r>
      <w:proofErr w:type="spellEnd"/>
      <w:r w:rsidRPr="00C0696A">
        <w:t xml:space="preserve"> und soziale Gerechtigkeit Hand in Hand gehen können. Mehr Geld für thermische Sanierung – auch für die Sanierung von Wohnraum von Menschen mit niedrigem Einkommen – und eine Beratungsoffensive für nachhaltige Energieträger stellen sicher, dass ökologisches Bewusstsein und Handeln nicht nur Besserverdienenden vorbehalten ist. Nur sozial gerecht und solidarisch können wir die Energiekrise überwinden. </w:t>
      </w:r>
    </w:p>
    <w:p w:rsidR="00C0696A" w:rsidRDefault="00C0696A" w:rsidP="00851882">
      <w:pPr>
        <w:rPr>
          <w:lang w:val="de-DE"/>
        </w:rPr>
      </w:pPr>
    </w:p>
    <w:p w:rsidR="00C0696A" w:rsidRDefault="00C0696A" w:rsidP="00564093">
      <w:pPr>
        <w:pStyle w:val="ZGBManahme"/>
      </w:pPr>
      <w:r w:rsidRPr="00C0696A">
        <w:t>Thermische Sanierung</w:t>
      </w:r>
    </w:p>
    <w:p w:rsidR="00C0696A" w:rsidRPr="00A9787B" w:rsidRDefault="00A9787B" w:rsidP="00C0696A">
      <w:pPr>
        <w:rPr>
          <w:rFonts w:cs="MinionPro-Regular"/>
          <w:color w:val="000000" w:themeColor="text1"/>
          <w:lang w:val="de-DE"/>
        </w:rPr>
      </w:pPr>
      <w:r w:rsidRPr="00A9787B">
        <w:rPr>
          <w:rFonts w:cs="MinionPro-Regular"/>
          <w:color w:val="000000" w:themeColor="text1"/>
          <w:lang w:val="de-DE"/>
        </w:rPr>
        <w:t>Die Reduktion des Energie- und Stromverbrauchs erfordert u. a. die Sanierung des gesamten Gebäudebestandes in Österreich in Richtung Niedrigenergiestandard. Bis 2050 sollen flächendeckend alle Gebäude in Österreich saniert sein. Das entspricht einer jährlichen Sanierungsrate von 3%. Die bessere Isolierung von Wohnraum ist dabei nicht nur eine sinnvolle Klimaschutzmaßnahme, sondern führt auch zu einer Verbesserung der Lebensqualität.</w:t>
      </w:r>
      <w:r>
        <w:rPr>
          <w:rFonts w:cs="MinionPro-Regular"/>
          <w:color w:val="000000" w:themeColor="text1"/>
          <w:lang w:val="de-DE"/>
        </w:rPr>
        <w:br/>
      </w:r>
      <w:r w:rsidRPr="00A9787B">
        <w:rPr>
          <w:rFonts w:cs="MinionPro-Regular"/>
          <w:color w:val="000000" w:themeColor="text1"/>
          <w:lang w:val="de-DE"/>
        </w:rPr>
        <w:t xml:space="preserve">Die Nachfrage nach schon bestehenden öffentlichen Unterstützungen ist dementsprechend groß. Neben der Erleichterung von Sanierungen auch in Mehrgeschoßbauten durch Rechtsansprüche oder der neuerlichen Zweckwidmung der Wohnbaufördermittel mit einer entsprechenden ökologischen Komponente sind langfristig verlässliche Förderinstrumente ein wesentlicher Faktor, um das Erreichen der jährlichen Sanierungsrate von 3% zu gewährleisten. </w:t>
      </w:r>
      <w:r>
        <w:rPr>
          <w:rFonts w:cs="MinionPro-Regular"/>
          <w:color w:val="000000" w:themeColor="text1"/>
          <w:lang w:val="de-DE"/>
        </w:rPr>
        <w:br/>
      </w:r>
      <w:r w:rsidRPr="00A9787B">
        <w:rPr>
          <w:rFonts w:cs="MinionPro-Regular"/>
          <w:color w:val="000000" w:themeColor="text1"/>
          <w:lang w:val="de-DE"/>
        </w:rPr>
        <w:t xml:space="preserve">Gegenwärtig stellt die Regierung trotz großer Nachfrage noch immer zu wenig Fördermittel zur Verfügung. Wir schlagen jährlich zusätzliche 200 Mio.  Euro an Fördermitteln für thermische Sanierung vor. So wären - zusammen mit den ohnehin schon budgetierten 100 Mio.  Euro - insgesamt 300 Mio.  Euro für diesen Bereich verfügbar. Damit auch Menschen mit niedrigem Einkommen in den Genuss einer sanierten Wohnung kommen, wird ein flächendeckender Sanierungsplan erarbeitet. Ein Teil der öffentlichen Gelder muss verpflichtend in die Sanierung von Wohnraum von Personen mit niedrigem Einkommen bzw. in die Sanierung des mehrgeschossigen Wohnbaus und die Sanierung von öffentlichen Gebäuden investiert werden. Durch diese Investitionen kann nicht nur ein wichtiger Beitrag zu den Klimaschutzzielen Österreichs geleistet werden, sondern es würden auch mehr als 2.200 zusätzliche Arbeitsplätze geschaffen. Im Rahmen dieses Sanierungsprogrammes ist auch der Umstieg von fossilen (= Kohle, Öl und Gas) auf andere Heizformen durchzuführen. </w:t>
      </w:r>
    </w:p>
    <w:p w:rsidR="00C0696A" w:rsidRPr="00C0696A" w:rsidRDefault="00C0696A" w:rsidP="00564093">
      <w:pPr>
        <w:pStyle w:val="ZGBManahme"/>
      </w:pPr>
      <w:r w:rsidRPr="00C0696A">
        <w:t>Förderung dezentraler Stromerzeugung</w:t>
      </w:r>
    </w:p>
    <w:p w:rsidR="00A9787B" w:rsidRPr="00A9787B" w:rsidRDefault="00A9787B" w:rsidP="00A9787B">
      <w:pPr>
        <w:pStyle w:val="ZGBFlietext"/>
      </w:pPr>
      <w:r w:rsidRPr="00A9787B">
        <w:t xml:space="preserve">Im Bereich der Stromerzeugung geht es - abgesehen vom Ausbau von ökologisch sauberer Energie - mittelfristig darum, dass die Stromerzeugung nicht ausschließlich zentral erfolgt, sondern zunehmend ein dezentrales Netz von Energiestromerzeugern gefördert wird, wo auch Haushalte Strom in das Netz einspeisen können. 30 Mio. Euro sollen in einem ersten Schritt in die Dezentralisierung der Stromversorgung investiert werden. </w:t>
      </w:r>
    </w:p>
    <w:p w:rsidR="00C0696A" w:rsidRDefault="00C0696A" w:rsidP="00C0696A">
      <w:pPr>
        <w:pStyle w:val="ZGBFlietext"/>
      </w:pPr>
    </w:p>
    <w:p w:rsidR="00C0696A" w:rsidRDefault="00C0696A" w:rsidP="00564093">
      <w:pPr>
        <w:pStyle w:val="ZGBManahme"/>
      </w:pPr>
      <w:r w:rsidRPr="00C0696A">
        <w:t>Beratungsoffensive – Energiesparen/Nachhaltige Energieformen</w:t>
      </w:r>
    </w:p>
    <w:p w:rsidR="00A9787B" w:rsidRPr="00A9787B" w:rsidRDefault="00A9787B" w:rsidP="00A9787B">
      <w:pPr>
        <w:pStyle w:val="ZGBFlietext"/>
      </w:pPr>
      <w:r w:rsidRPr="00A9787B">
        <w:t>Mittelfristig geht es darum, dass Haushalte nicht mehr mit fossilen Energieträgern heizen müssen und insgesamt weniger Strom bzw. Energie verbrauchen. Die benötigte Energie soll ökologisch sauber erzeugte Energie sein. Derzeit gibt es rund 800.000 bis 1 Mio. Haushalte in Österreich, die noch immer mit Erdöl heizen. Jährlich sollen 10 Mio.  Euro mehr für die Beratung zur Verbesserung der Energieeffizienz ausgegeben werden. Darüber hinaus braucht es auch Maßnahmen gegen Energiearmut. Wir haben diese in das Kapitel „Leistbares Wohnen für alle“ integriert (siehe Seite 55).</w:t>
      </w:r>
    </w:p>
    <w:p w:rsidR="00C0696A" w:rsidRDefault="00C0696A" w:rsidP="009A6654">
      <w:pPr>
        <w:pStyle w:val="berschrift2"/>
      </w:pPr>
    </w:p>
    <w:p w:rsidR="00C0696A" w:rsidRDefault="00C0696A" w:rsidP="009A6654">
      <w:pPr>
        <w:pStyle w:val="berschrift2"/>
      </w:pPr>
      <w:bookmarkStart w:id="12" w:name="_Toc406072755"/>
      <w:r>
        <w:lastRenderedPageBreak/>
        <w:t>Leistbare und umweltschonende Mobilität für alle!</w:t>
      </w:r>
      <w:bookmarkEnd w:id="12"/>
    </w:p>
    <w:p w:rsidR="00C0696A" w:rsidRPr="00C0696A" w:rsidRDefault="00C0696A" w:rsidP="00C0696A">
      <w:pPr>
        <w:pStyle w:val="ZGBFlietext"/>
      </w:pPr>
    </w:p>
    <w:p w:rsidR="00A9787B" w:rsidRPr="00A9787B" w:rsidRDefault="00A9787B" w:rsidP="00A9787B">
      <w:pPr>
        <w:pStyle w:val="ZGBFlietext"/>
        <w:rPr>
          <w:b/>
          <w:bCs/>
          <w:i/>
          <w:iCs/>
        </w:rPr>
      </w:pPr>
      <w:r w:rsidRPr="00A9787B">
        <w:rPr>
          <w:b/>
          <w:bCs/>
          <w:i/>
          <w:iCs/>
        </w:rPr>
        <w:t>Mobilität ist ein Grundbedürfnis. Tagtäglich legen wir unterschiedliche Wege zurück – von der Wohnung zum Arbeitsplatz, die Erledigung des Einkaufs, zu Kinderbetreuungseinrichtungen und Schulen oder um uns z. B. in der Natur zu erholen. Mobilität ist keine private Angelegenheit, sondern bedeutet gesellschaftliche Verantwortung. Verantwortungsvolle Mobilitätspolitik setzt auf umweltfreundliche, leistbare und komfortable Lösungen und berücksichtigt die unterschiedlichen Lebensrealitäten der Menschen in der Stadt und auf dem Land. Die Verringerung des Transits oder der Umstieg auf CO</w:t>
      </w:r>
      <w:r w:rsidRPr="00A9787B">
        <w:rPr>
          <w:b/>
          <w:bCs/>
          <w:i/>
          <w:iCs/>
          <w:vertAlign w:val="subscript"/>
        </w:rPr>
        <w:t>2</w:t>
      </w:r>
      <w:r w:rsidRPr="00A9787B">
        <w:rPr>
          <w:b/>
          <w:bCs/>
          <w:i/>
          <w:iCs/>
        </w:rPr>
        <w:t xml:space="preserve">-arme Mobilitätsformen ist nur möglich, wenn wir uns als Gesellschaft für Alternativen entscheiden und entsprechende öffentliche Investitionen tätigen. Eine zukunftsfähige Mobilitätspolitik orientiert sich am Ziel einer umweltfreundlichen, attraktiven und leistbaren öffentlichen Mobilität für alle. Zukunftsinvestitionen in beispielsweise den Ausbau öffentlicher Verkehrsmittel, die Einführung eines flächendeckenden Taktverkehrs oder die Förderung von Car-Sharing Modellen sind dabei genauso wichtig wie die Einrichtung eines Zukunftsfonds für Gehen und Radfahren. </w:t>
      </w:r>
    </w:p>
    <w:p w:rsidR="00C0696A" w:rsidRPr="00C0696A" w:rsidRDefault="00C0696A" w:rsidP="00C0696A">
      <w:pPr>
        <w:pStyle w:val="ZGBFlietext"/>
      </w:pPr>
    </w:p>
    <w:p w:rsidR="00C0696A" w:rsidRDefault="00C0696A" w:rsidP="00564093">
      <w:pPr>
        <w:pStyle w:val="ZGBManahme"/>
      </w:pPr>
      <w:r w:rsidRPr="00C0696A">
        <w:t xml:space="preserve">Öffentlich mobil – Umsetzung von Mindestversorgungsstandards bei </w:t>
      </w:r>
      <w:proofErr w:type="spellStart"/>
      <w:r w:rsidRPr="00C0696A">
        <w:t>Öffis</w:t>
      </w:r>
      <w:proofErr w:type="spellEnd"/>
    </w:p>
    <w:p w:rsidR="00C0696A" w:rsidRDefault="00A9787B" w:rsidP="00A9787B">
      <w:pPr>
        <w:pStyle w:val="ZGBFlietext"/>
      </w:pPr>
      <w:r w:rsidRPr="00A9787B">
        <w:t xml:space="preserve">Damit es nicht vom Zufall abhängt, ob man in einem Bundesland mit guter oder schlechter öffentlicher Verkehrsanbindung wohnt, bedarf es verbindlicher Mindestversorgungsstandards. Das Ziel dabei muss sein, dass grundsätzlich alle Menschen in Österreich ohne eigenes Auto mobil sein und in einer zumutbaren Zeit sowie mit attraktiven Takten ihre Zielorte erreichen können. Das öffentliche Verkehrsnetz in Österreich sollte entlang folgender Leitlinien ausgebaut und verbessert </w:t>
      </w:r>
      <w:proofErr w:type="spellStart"/>
      <w:r w:rsidRPr="00A9787B">
        <w:t>werden:</w:t>
      </w:r>
      <w:r w:rsidR="00C0696A" w:rsidRPr="00C0696A">
        <w:t>Jede</w:t>
      </w:r>
      <w:proofErr w:type="spellEnd"/>
      <w:r w:rsidR="00C0696A" w:rsidRPr="00C0696A">
        <w:t xml:space="preserve"> Gemeinde in Österreich ist – je nach Größe - mit dem nächsten Regionalzentrum (z.B. Bezirkshauptstadt) im Ein- bzw. fallweise Zwei-Stundentakt verbunden. Wo es eine funktionierende Schieneninfrastruktur gibt, ist dem Bahnverkehr der Vorzug zu geben.</w:t>
      </w:r>
    </w:p>
    <w:p w:rsidR="00A9787B" w:rsidRPr="00C0696A" w:rsidRDefault="00A9787B" w:rsidP="00A9787B">
      <w:pPr>
        <w:pStyle w:val="ZGBFlietext"/>
        <w:numPr>
          <w:ilvl w:val="0"/>
          <w:numId w:val="32"/>
        </w:numPr>
      </w:pPr>
      <w:r w:rsidRPr="00A9787B">
        <w:t>Jede Gemeinde in Österreich ist – je nach Größe - mit dem nächsten Regionalzentrum (z. B. Bezirkshauptstadt) im Ein- bzw. fallweise Zwei-Stundentakt verbunden. Wo es eine funktionierende Schieneninfrastruktur gibt, ist dem Bahnverkehr der Vorzug zu geben.</w:t>
      </w:r>
    </w:p>
    <w:p w:rsidR="00C0696A" w:rsidRPr="00C0696A" w:rsidRDefault="00C0696A" w:rsidP="00C0696A">
      <w:pPr>
        <w:pStyle w:val="ZGBFlietext"/>
        <w:numPr>
          <w:ilvl w:val="0"/>
          <w:numId w:val="16"/>
        </w:numPr>
      </w:pPr>
      <w:r w:rsidRPr="00C0696A">
        <w:t>Im innerörtlichen Verkehr sind Ansiedlungen – je nach Einwohnerzahl – mit Anrufsammeltaxis oder -bussen anzubinden.</w:t>
      </w:r>
    </w:p>
    <w:p w:rsidR="00A9787B" w:rsidRDefault="00A9787B" w:rsidP="00A9787B">
      <w:pPr>
        <w:pStyle w:val="ZGBFlietext"/>
        <w:numPr>
          <w:ilvl w:val="0"/>
          <w:numId w:val="16"/>
        </w:numPr>
      </w:pPr>
      <w:r w:rsidRPr="00A9787B">
        <w:t xml:space="preserve">Österreichweit gibt es einen integrierten Taktfahrplan mit garantierten Umsteigemöglichkeiten und ohne Taktbrüche an Bundesländergrenzen. </w:t>
      </w:r>
    </w:p>
    <w:p w:rsidR="00C0696A" w:rsidRPr="00C0696A" w:rsidRDefault="00C0696A" w:rsidP="00A9787B">
      <w:pPr>
        <w:pStyle w:val="ZGBFlietext"/>
        <w:numPr>
          <w:ilvl w:val="0"/>
          <w:numId w:val="16"/>
        </w:numPr>
      </w:pPr>
      <w:r w:rsidRPr="00C0696A">
        <w:t xml:space="preserve">Zwischen benachbarten Bezirkshauptstädten soll es – wenn geografisch möglich und sinnvoll – alle ein bis zwei Stunden eine </w:t>
      </w:r>
      <w:proofErr w:type="spellStart"/>
      <w:r w:rsidRPr="00C0696A">
        <w:t>Öffi</w:t>
      </w:r>
      <w:proofErr w:type="spellEnd"/>
      <w:r w:rsidRPr="00C0696A">
        <w:t>-Verbindung geben.</w:t>
      </w:r>
    </w:p>
    <w:p w:rsidR="00C0696A" w:rsidRPr="00C0696A" w:rsidRDefault="00C0696A" w:rsidP="00C0696A">
      <w:pPr>
        <w:pStyle w:val="ZGBFlietext"/>
        <w:numPr>
          <w:ilvl w:val="0"/>
          <w:numId w:val="16"/>
        </w:numPr>
      </w:pPr>
      <w:r w:rsidRPr="00C0696A">
        <w:t xml:space="preserve">Von jeder Bezirkshauptstadt muss es – mit höchstens einmal Umsteigen - </w:t>
      </w:r>
      <w:proofErr w:type="spellStart"/>
      <w:r w:rsidRPr="00C0696A">
        <w:t>Öffi</w:t>
      </w:r>
      <w:proofErr w:type="spellEnd"/>
      <w:r w:rsidRPr="00C0696A">
        <w:t>-Verbindungen in die Landeshauptstadt geben.</w:t>
      </w:r>
    </w:p>
    <w:p w:rsidR="00C0696A" w:rsidRPr="00C0696A" w:rsidRDefault="00C0696A" w:rsidP="00C0696A">
      <w:pPr>
        <w:pStyle w:val="ZGBFlietext"/>
        <w:numPr>
          <w:ilvl w:val="0"/>
          <w:numId w:val="16"/>
        </w:numPr>
      </w:pPr>
      <w:r w:rsidRPr="00C0696A">
        <w:t xml:space="preserve">Wo es substantielle grenzüberschreitende </w:t>
      </w:r>
      <w:proofErr w:type="spellStart"/>
      <w:r w:rsidRPr="00C0696A">
        <w:t>PendlerInnen</w:t>
      </w:r>
      <w:proofErr w:type="spellEnd"/>
      <w:r w:rsidRPr="00C0696A">
        <w:t xml:space="preserve">- bzw. </w:t>
      </w:r>
      <w:proofErr w:type="spellStart"/>
      <w:r w:rsidRPr="00C0696A">
        <w:t>SchülerInnenströme</w:t>
      </w:r>
      <w:proofErr w:type="spellEnd"/>
      <w:r w:rsidRPr="00C0696A">
        <w:t xml:space="preserve"> oder Freizeitverkehr gibt, sind auch </w:t>
      </w:r>
      <w:proofErr w:type="spellStart"/>
      <w:r w:rsidRPr="00C0696A">
        <w:t>Öffi</w:t>
      </w:r>
      <w:proofErr w:type="spellEnd"/>
      <w:r w:rsidRPr="00C0696A">
        <w:t>-Verbindungen ins benachbarte Ausland sicherzustellen.</w:t>
      </w:r>
    </w:p>
    <w:p w:rsidR="00C0696A" w:rsidRPr="00C0696A" w:rsidRDefault="00C0696A" w:rsidP="00C0696A">
      <w:pPr>
        <w:pStyle w:val="ZGBFlietext"/>
        <w:numPr>
          <w:ilvl w:val="0"/>
          <w:numId w:val="16"/>
        </w:numPr>
      </w:pPr>
      <w:r w:rsidRPr="00C0696A">
        <w:t xml:space="preserve">Die </w:t>
      </w:r>
      <w:proofErr w:type="spellStart"/>
      <w:r w:rsidRPr="00C0696A">
        <w:t>Öffi</w:t>
      </w:r>
      <w:proofErr w:type="spellEnd"/>
      <w:r w:rsidRPr="00C0696A">
        <w:t>-Verbindungen zwischen größeren Städten und ihren Umlandgemeinden müssen leistungsfähiger und attraktiver werden.</w:t>
      </w:r>
    </w:p>
    <w:p w:rsidR="00C0696A" w:rsidRPr="00C0696A" w:rsidRDefault="00C0696A" w:rsidP="00C0696A">
      <w:pPr>
        <w:pStyle w:val="ZGBFlietext"/>
        <w:numPr>
          <w:ilvl w:val="0"/>
          <w:numId w:val="16"/>
        </w:numPr>
      </w:pPr>
      <w:r w:rsidRPr="00C0696A">
        <w:t xml:space="preserve">Um das subjektive Sicherheitsgefühl zu erhöhen, sollten in den Zügen prinzipiell </w:t>
      </w:r>
      <w:proofErr w:type="spellStart"/>
      <w:r w:rsidRPr="00C0696A">
        <w:t>ZugbegleiterInnen</w:t>
      </w:r>
      <w:proofErr w:type="spellEnd"/>
      <w:r w:rsidRPr="00C0696A">
        <w:t xml:space="preserve"> bzw. </w:t>
      </w:r>
      <w:proofErr w:type="spellStart"/>
      <w:r w:rsidRPr="00C0696A">
        <w:t>SchaffnerInnen</w:t>
      </w:r>
      <w:proofErr w:type="spellEnd"/>
      <w:r w:rsidRPr="00C0696A">
        <w:t xml:space="preserve"> mitfahren, speziell in den Abendstunden.</w:t>
      </w:r>
    </w:p>
    <w:p w:rsidR="00C0696A" w:rsidRPr="00C0696A" w:rsidRDefault="00C0696A" w:rsidP="00C0696A">
      <w:pPr>
        <w:pStyle w:val="ZGBFlietext"/>
      </w:pPr>
    </w:p>
    <w:p w:rsidR="00C0696A" w:rsidRDefault="00A9787B" w:rsidP="00C0696A">
      <w:pPr>
        <w:pStyle w:val="ZGBFlietext"/>
      </w:pPr>
      <w:r w:rsidRPr="00A9787B">
        <w:t xml:space="preserve">Mit einer Neuordnung der gegenwärtig rund 2,5 Mrd. Euro, die für das bestehende öffentliche Verkehrsnetz aufgewendet werden (zwei Drittel davon kommen von Bund, Ländern und Gemeinden, der Rest wird durch die Fahrgäste gedeckt) und zusätzlichen Investitionen kann dies erreicht werden. Die Reaktivierung, Modernisierung und der Ausbau des bestehenden Regionalbahnnetzes kostet rund 350 Mio. Euro. Die Einführung eines </w:t>
      </w:r>
      <w:proofErr w:type="spellStart"/>
      <w:r w:rsidRPr="00A9787B">
        <w:t>Einstundentaktes</w:t>
      </w:r>
      <w:proofErr w:type="spellEnd"/>
      <w:r w:rsidRPr="00A9787B">
        <w:t xml:space="preserve"> für das bestehende und das reaktivierte Eisenbahnnetz ist eine wichtige Sofortmaßnahme, um Menschen den Umstieg vom Auto auf öffentliche Verkehrsmittel zu ermöglichen. Diese Investition kostet nach gemeinwirtschaftlichem Leistungssatz (GWL Satz) bei 8,5 Mio. Zugkilometern 27 Mio.  Euro im ersten Jahr. In den Folgejahren fallen dann weitere 95 Mio. Euro für den Endausbau an. Die Ausweitung des Busverkehrs erfordert in einem ersten Schritt Investitionen im Ausmaß von 7 Mio.  Euro und anschließend weitere 45 Mio.  Euro pro Jahr. Die Umsetzung der Mindestversorgungsstandards bed</w:t>
      </w:r>
      <w:r>
        <w:t>arf noch weiterer Finanzmittel.</w:t>
      </w:r>
    </w:p>
    <w:p w:rsidR="005A5AB7" w:rsidRDefault="005A5AB7" w:rsidP="00564093">
      <w:pPr>
        <w:pStyle w:val="ZGBManahme"/>
      </w:pPr>
    </w:p>
    <w:p w:rsidR="00C0696A" w:rsidRDefault="00C0696A" w:rsidP="00564093">
      <w:pPr>
        <w:pStyle w:val="ZGBManahme"/>
      </w:pPr>
      <w:r w:rsidRPr="00C0696A">
        <w:lastRenderedPageBreak/>
        <w:t>Zukunftsfonds: Infrastrukturprojekte für Gehen und Radfahren</w:t>
      </w:r>
    </w:p>
    <w:p w:rsidR="00A9787B" w:rsidRPr="00A9787B" w:rsidRDefault="00A9787B" w:rsidP="00A9787B">
      <w:pPr>
        <w:pStyle w:val="ZGBFlietext"/>
      </w:pPr>
      <w:r w:rsidRPr="00A9787B">
        <w:t xml:space="preserve">Für die Förderung von Infrastrukturprojekten für Radfahren und Gehen soll ein Zukunftsfonds von 100 Mio.  Euro eingerichtet werden, aus dem Projekte wie z. B. </w:t>
      </w:r>
      <w:proofErr w:type="spellStart"/>
      <w:r w:rsidRPr="00A9787B">
        <w:t>Shared</w:t>
      </w:r>
      <w:proofErr w:type="spellEnd"/>
      <w:r w:rsidRPr="00A9787B">
        <w:t xml:space="preserve"> Space (gemeinsame Nutzung von Straßen zwischen </w:t>
      </w:r>
      <w:proofErr w:type="spellStart"/>
      <w:r w:rsidRPr="00A9787B">
        <w:t>AutofahrerInnen</w:t>
      </w:r>
      <w:proofErr w:type="spellEnd"/>
      <w:r w:rsidRPr="00A9787B">
        <w:t xml:space="preserve">, </w:t>
      </w:r>
      <w:proofErr w:type="spellStart"/>
      <w:r w:rsidRPr="00A9787B">
        <w:t>RadfahrerInnen</w:t>
      </w:r>
      <w:proofErr w:type="spellEnd"/>
      <w:r w:rsidRPr="00A9787B">
        <w:t xml:space="preserve"> und </w:t>
      </w:r>
      <w:proofErr w:type="spellStart"/>
      <w:r w:rsidRPr="00A9787B">
        <w:t>FußgängerInnen</w:t>
      </w:r>
      <w:proofErr w:type="spellEnd"/>
      <w:r w:rsidRPr="00A9787B">
        <w:t xml:space="preserve">), Begegnungszonen, elektronisches Ticketing, Radwege entlang von Freilandstraßen sowie Verkehrsberuhigungsmaßnahmen und Straßenrückbau finanziert werden. Auch der Ausbau von Fahrradabstellanlagen v.  a. bei Bahnhöfen muss gefördert werden, um so eine bessere Vernetzung von Radmobilität mit öffentlicher Mobilität zu garantieren. </w:t>
      </w:r>
    </w:p>
    <w:p w:rsidR="00D11ED9" w:rsidRDefault="00D11ED9" w:rsidP="00D11ED9">
      <w:pPr>
        <w:pStyle w:val="ZGBFlietext"/>
      </w:pPr>
    </w:p>
    <w:p w:rsidR="00D11ED9" w:rsidRDefault="00D11ED9" w:rsidP="00564093">
      <w:pPr>
        <w:pStyle w:val="ZGBManahme"/>
      </w:pPr>
      <w:r w:rsidRPr="00D11ED9">
        <w:t>Reform der Pendlerpauschale</w:t>
      </w:r>
    </w:p>
    <w:p w:rsidR="00A9787B" w:rsidRDefault="00A9787B" w:rsidP="00A9787B">
      <w:pPr>
        <w:pStyle w:val="ZGBFlietext"/>
      </w:pPr>
      <w:r w:rsidRPr="00A9787B">
        <w:t xml:space="preserve">Die Reform der Pendlerpauschale von 2013 hat zwar zwei Forderungen des Zivilgesellschaftlichen Zukunftsbudgets (siehe Erfolgsbilanz auf Seite 19) aufgenommen. Trotz dieser Änderungen bekommen weiterhin jene, die nahe am Arbeitsplatz wohnen (&lt; 20 km) und öffentliche Verkehrsmittel benützen, eine niedrigere steuerliche Entlastung für ihr ökologisch nachhaltiges Mobilitätsverhalten als jene, die PKWs benützen (müssen). Erst ab einer Entfernung von 20 km wird die Pendlerpauschale auch jenen gewährt, die in Gebieten mit guter öffentlicher Verkehrsinfrastruktur wohnen. Diese Steuerentlastung wird jedoch auch dann bezahlt, wenn tatsächlich nicht das verfügbare öffentliche Verkehrsmittel sondern das Auto benützt wird. Teil der umweltfreundlichen Mobilitätsoffensive ist die Reform der Pendlerpauschale in Richtung </w:t>
      </w:r>
      <w:proofErr w:type="spellStart"/>
      <w:r w:rsidRPr="00A9787B">
        <w:t>Ökologisierung</w:t>
      </w:r>
      <w:proofErr w:type="spellEnd"/>
      <w:r w:rsidRPr="00A9787B">
        <w:t>, soziale Treffsicherheit und Förderung des Umstiegs auf öffentliche Verkehrsmittel. Eine solche Reform umfasst:</w:t>
      </w:r>
    </w:p>
    <w:p w:rsidR="00D11ED9" w:rsidRPr="00D11ED9" w:rsidRDefault="00D11ED9" w:rsidP="00A9787B">
      <w:pPr>
        <w:pStyle w:val="ZGBFlietext"/>
        <w:numPr>
          <w:ilvl w:val="0"/>
          <w:numId w:val="33"/>
        </w:numPr>
      </w:pPr>
      <w:r w:rsidRPr="00D11ED9">
        <w:t xml:space="preserve">Umwandlung der Pendlerpauschale von einem Steuerfreibetrag in einen Absetzbetrag mit voller Negativsteuerwirkung </w:t>
      </w:r>
    </w:p>
    <w:p w:rsidR="00D11ED9" w:rsidRPr="00D11ED9" w:rsidRDefault="00D11ED9" w:rsidP="00D11ED9">
      <w:pPr>
        <w:pStyle w:val="ZGBFlietext"/>
        <w:numPr>
          <w:ilvl w:val="0"/>
          <w:numId w:val="17"/>
        </w:numPr>
      </w:pPr>
      <w:r w:rsidRPr="00D11ED9">
        <w:t xml:space="preserve">Pendlerpauschale “groß” für alle </w:t>
      </w:r>
      <w:proofErr w:type="spellStart"/>
      <w:r w:rsidRPr="00D11ED9">
        <w:t>BenützerInnen</w:t>
      </w:r>
      <w:proofErr w:type="spellEnd"/>
      <w:r w:rsidRPr="00D11ED9">
        <w:t xml:space="preserve"> öffentlicher Verkehrsmittel, </w:t>
      </w:r>
      <w:proofErr w:type="spellStart"/>
      <w:r w:rsidRPr="00D11ED9">
        <w:t>FahrradfahrerInnen</w:t>
      </w:r>
      <w:proofErr w:type="spellEnd"/>
      <w:r w:rsidRPr="00D11ED9">
        <w:t xml:space="preserve"> sowie </w:t>
      </w:r>
      <w:proofErr w:type="spellStart"/>
      <w:r w:rsidRPr="00D11ED9">
        <w:t>FußgängerInnen</w:t>
      </w:r>
      <w:proofErr w:type="spellEnd"/>
      <w:r w:rsidRPr="00D11ED9">
        <w:t xml:space="preserve"> und für </w:t>
      </w:r>
      <w:proofErr w:type="spellStart"/>
      <w:r w:rsidRPr="00D11ED9">
        <w:t>AutobenützerInnen</w:t>
      </w:r>
      <w:proofErr w:type="spellEnd"/>
      <w:r w:rsidRPr="00D11ED9">
        <w:t>, denen keine zumutbaren öffentlichen Verkehrsmittel zur Verfügung stehen</w:t>
      </w:r>
    </w:p>
    <w:p w:rsidR="00D11ED9" w:rsidRPr="00D11ED9" w:rsidRDefault="00D11ED9" w:rsidP="00D11ED9">
      <w:pPr>
        <w:pStyle w:val="ZGBFlietext"/>
        <w:numPr>
          <w:ilvl w:val="0"/>
          <w:numId w:val="17"/>
        </w:numPr>
      </w:pPr>
      <w:r w:rsidRPr="00D11ED9">
        <w:t xml:space="preserve">Pendlerpauschale “klein” für </w:t>
      </w:r>
      <w:proofErr w:type="spellStart"/>
      <w:r w:rsidRPr="00D11ED9">
        <w:t>AutobenützerInnen</w:t>
      </w:r>
      <w:proofErr w:type="spellEnd"/>
      <w:r w:rsidRPr="00D11ED9">
        <w:t>, denen ein zumutbares öffentliches Verkehrsmittel zur Verfügung stünde</w:t>
      </w:r>
    </w:p>
    <w:p w:rsidR="00D11ED9" w:rsidRPr="00D11ED9" w:rsidRDefault="00D11ED9" w:rsidP="00D11ED9">
      <w:pPr>
        <w:pStyle w:val="ZGBFlietext"/>
        <w:numPr>
          <w:ilvl w:val="0"/>
          <w:numId w:val="17"/>
        </w:numPr>
      </w:pPr>
      <w:r w:rsidRPr="00D11ED9">
        <w:t xml:space="preserve">Ein Splitting muss möglich sein (etwa für die Fahrt mit dem PKW bis zum Bahnhof). </w:t>
      </w:r>
    </w:p>
    <w:p w:rsidR="00D11ED9" w:rsidRDefault="00A9787B" w:rsidP="00D11ED9">
      <w:pPr>
        <w:pStyle w:val="ZGBFlietext"/>
      </w:pPr>
      <w:r w:rsidRPr="00A9787B">
        <w:t xml:space="preserve">Die Erhöhung der sozialen und ökologischen Treffsicherheit kostet Geld. Es müssen die höheren Pendlerpauschalen für die </w:t>
      </w:r>
      <w:proofErr w:type="spellStart"/>
      <w:r w:rsidRPr="00A9787B">
        <w:t>BenutzerInnen</w:t>
      </w:r>
      <w:proofErr w:type="spellEnd"/>
      <w:r w:rsidRPr="00A9787B">
        <w:t xml:space="preserve"> öffentlicher Verkehrsmittel abgedeckt werden. Die Umverteilung zwischen höheren und niedrigeren Einkommen ist dagegen kostenneutral.</w:t>
      </w:r>
    </w:p>
    <w:p w:rsidR="00A9787B" w:rsidRDefault="00A9787B" w:rsidP="00D11ED9">
      <w:pPr>
        <w:pStyle w:val="ZGBFlietext"/>
      </w:pPr>
    </w:p>
    <w:p w:rsidR="00D11ED9" w:rsidRDefault="00D11ED9" w:rsidP="00564093">
      <w:pPr>
        <w:pStyle w:val="ZGBManahme"/>
      </w:pPr>
      <w:r w:rsidRPr="00D11ED9">
        <w:t xml:space="preserve">Soziale Ausgleichsmaßnahmen für </w:t>
      </w:r>
      <w:proofErr w:type="spellStart"/>
      <w:r w:rsidRPr="00D11ED9">
        <w:t>MöSt</w:t>
      </w:r>
      <w:proofErr w:type="spellEnd"/>
      <w:r w:rsidRPr="00D11ED9">
        <w:t>-Erhöhung</w:t>
      </w:r>
    </w:p>
    <w:p w:rsidR="00A9787B" w:rsidRPr="00A9787B" w:rsidRDefault="00A9787B" w:rsidP="00A9787B">
      <w:pPr>
        <w:pStyle w:val="ZGBFlietext"/>
      </w:pPr>
      <w:r w:rsidRPr="00A9787B">
        <w:t xml:space="preserve">Für jene Menschen, die in Regionen ohne zumutbare öffentliche Verkehrsanbindung leben und daher bei einer Erhöhung der Mineralölsteuer für Diesel um 4 Cent  (siehe Vorschlag auf Seite 88) nicht auf öffentliche Transportmittel umsteigen können, soll es zeitlich begrenzte Ausgleichsmaßnahmen geben – so lange, bis eine öffentliche Alternative vorhanden ist. Diese Ausgleichsmaßnahmen gelten auch für kleinstrukturierte, ökologisch nachhaltig wirtschaftende Landwirtschaftsbetriebe, die infolge der Abschaffung der Mineralölsteuerrückvergütung für die Landwirtschaft und die Aufhebung der Kfz-Steuerbefreiung für land- und forstwirtschaftliche Zugmaschinen Einkommensverluste erleiden. Eine seriöse Schätzung des erforderlichen Betrages ist mangels Datengrundlagen nicht möglich, da aber die Erhöhung der </w:t>
      </w:r>
      <w:proofErr w:type="spellStart"/>
      <w:r w:rsidRPr="00A9787B">
        <w:t>MöSt</w:t>
      </w:r>
      <w:proofErr w:type="spellEnd"/>
      <w:r w:rsidRPr="00A9787B">
        <w:t xml:space="preserve"> kaum die übliche wöchentliche Schwankung der Dieselpreise überschreitet, sollten rund 2% des Aufkommens ausreichen. In einem ersten Schritt sind hier 100 Mio.  Euro veranschlagt. Dieser Betrag soll auf Basis der Erfahrungswerte des laufenden Jahres angepasst werden. </w:t>
      </w:r>
    </w:p>
    <w:p w:rsidR="000F1753" w:rsidRDefault="000F1753" w:rsidP="00D11ED9">
      <w:pPr>
        <w:pStyle w:val="ZGBFlietext"/>
      </w:pPr>
    </w:p>
    <w:p w:rsidR="000F1753" w:rsidRDefault="000F1753" w:rsidP="000F1753">
      <w:pPr>
        <w:pStyle w:val="ZGBManahme"/>
      </w:pPr>
      <w:r w:rsidRPr="000F1753">
        <w:t>Verbesserung des Güterverkehrs auf der Schiene</w:t>
      </w:r>
    </w:p>
    <w:p w:rsidR="00A9787B" w:rsidRPr="00A9787B" w:rsidRDefault="00A9787B" w:rsidP="00A9787B">
      <w:pPr>
        <w:pStyle w:val="ZGBFlietext"/>
      </w:pPr>
      <w:r w:rsidRPr="00A9787B">
        <w:t xml:space="preserve">Österreich ist ein Transitland für den motorisierten Güterverkehr. LKW-Kolonnen sind nicht nur für </w:t>
      </w:r>
      <w:proofErr w:type="spellStart"/>
      <w:r w:rsidRPr="00A9787B">
        <w:t>AnrainerInnen</w:t>
      </w:r>
      <w:proofErr w:type="spellEnd"/>
      <w:r w:rsidRPr="00A9787B">
        <w:t xml:space="preserve"> von Autobahntransitrouten eine Last, sie verursachen auch durch die Umfahrung von kostenpflichtigen Autobahnen in zahlreichen Gemeinden hohe Straßenerhaltungskosten. Der Schienenverkehr ist eine vernünftige Alternative, die sowohl die Menschen als auch die Umwelt entlastet. Dafür braucht es entsprechende Zukunftsinvestitionen. Um die Güterverkehrsabwicklung in der Fläche sicherzustellen, sind für den Güterverkehr auf der Schiene Investitionen in der Höhe von 50 Mio.  Euro für gemeinwirtschaftliche Leistungen notwendig. Damit können die Kostendeckung der Bedienung der Anschlussbahnen verbessert und die Abwicklung des Einzelwagenverkehrs aufrechterhalten werden. </w:t>
      </w:r>
    </w:p>
    <w:p w:rsidR="000F1753" w:rsidRDefault="000F1753" w:rsidP="000F1753">
      <w:pPr>
        <w:pStyle w:val="ZGBFlietext"/>
      </w:pPr>
    </w:p>
    <w:p w:rsidR="000F1753" w:rsidRDefault="000F1753" w:rsidP="000F1753">
      <w:pPr>
        <w:pStyle w:val="ZGBManahme"/>
      </w:pPr>
      <w:r w:rsidRPr="000F1753">
        <w:lastRenderedPageBreak/>
        <w:t xml:space="preserve">Verbesserung der Eigenkapitaldecke der ÖBB </w:t>
      </w:r>
    </w:p>
    <w:p w:rsidR="00A9787B" w:rsidRPr="00A9787B" w:rsidRDefault="00A9787B" w:rsidP="00A9787B">
      <w:pPr>
        <w:pStyle w:val="ZGBFlietext"/>
      </w:pPr>
      <w:r w:rsidRPr="00A9787B">
        <w:t>Die Abschaffung der Energieabgaben- und Mineralölsteuerrückvergütung betrifft auch die Eisenbahn. Hier braucht es noch eine Regelung die sicherstellt, dass die Mobilität per Bahn für alle leistbar bleibt und das umweltfreundliche Verkehrsmittel Bahn gegenüber der Straße gefördert wird. Damit die Eigenkapitaldecke der ÖBB für Zukunftsinvestitionen ausreicht, bedarf es einer Kapitalaufstockung der ÖBB in der Höhe von insgesamt 500 Mio.  Euro. Für 2015 sollen in einem ersten Schritt 140 Mio.  Euro bereitgestellt werden.</w:t>
      </w:r>
    </w:p>
    <w:p w:rsidR="000F1753" w:rsidRDefault="000F1753" w:rsidP="000F1753">
      <w:pPr>
        <w:pStyle w:val="ZGBFlietext"/>
      </w:pPr>
    </w:p>
    <w:p w:rsidR="005A5AB7" w:rsidRDefault="005A5AB7" w:rsidP="000F1753">
      <w:pPr>
        <w:pStyle w:val="ZGBFlietext"/>
      </w:pPr>
    </w:p>
    <w:p w:rsidR="000F1753" w:rsidRDefault="000F1753" w:rsidP="009A6654">
      <w:pPr>
        <w:pStyle w:val="berschrift2"/>
      </w:pPr>
      <w:bookmarkStart w:id="13" w:name="_Toc406072756"/>
      <w:r w:rsidRPr="000F1753">
        <w:t>Gesund leben - in Würde altern</w:t>
      </w:r>
      <w:bookmarkEnd w:id="13"/>
      <w:r w:rsidRPr="000F1753">
        <w:t xml:space="preserve"> </w:t>
      </w:r>
    </w:p>
    <w:p w:rsidR="000F1753" w:rsidRDefault="000F1753" w:rsidP="000F1753">
      <w:pPr>
        <w:pStyle w:val="ZGBFlietext"/>
      </w:pPr>
    </w:p>
    <w:p w:rsidR="00A9787B" w:rsidRPr="00A9787B" w:rsidRDefault="00A9787B" w:rsidP="00A9787B">
      <w:pPr>
        <w:pStyle w:val="ZGBFlietext"/>
        <w:rPr>
          <w:b/>
          <w:bCs/>
          <w:i/>
          <w:iCs/>
        </w:rPr>
      </w:pPr>
      <w:r w:rsidRPr="00A9787B">
        <w:rPr>
          <w:b/>
          <w:bCs/>
          <w:i/>
          <w:iCs/>
        </w:rPr>
        <w:t xml:space="preserve">Zugang zu flächendeckender qualitativer Gesundheitsversorgung und Pflege ist für uns ein zentraler Eckpfeiler für ein gutes Leben. In beiden Bereichen stehen wir vor der Herausforderung, durch entsprechende Anpassungen und zusätzliche Investitionen die Qualität der Leistungen zu verbessern und das Angebot vor allem im Bereich der Pflege auszubauen. Wir geben in Österreich zwar viel für das Gesundheitssystem aus, allerdings entsprechen die Leistungen nicht mehr in jedem Fall dem heute vorhandenen Bedarf und die Ergebnisse sind nur durchschnittlich. Unsere Vision ist, dass eine qualitativ hochwertige gesundheitliche Grundversorgung für alle Menschen in Österreich gewährleistet und gut erreichbar ist. </w:t>
      </w:r>
      <w:proofErr w:type="spellStart"/>
      <w:r w:rsidRPr="00A9787B">
        <w:rPr>
          <w:b/>
          <w:bCs/>
          <w:i/>
          <w:iCs/>
        </w:rPr>
        <w:t>ÄrztInnen</w:t>
      </w:r>
      <w:proofErr w:type="spellEnd"/>
      <w:r w:rsidRPr="00A9787B">
        <w:rPr>
          <w:b/>
          <w:bCs/>
          <w:i/>
          <w:iCs/>
        </w:rPr>
        <w:t xml:space="preserve"> sollen Zeit für ihre </w:t>
      </w:r>
      <w:proofErr w:type="spellStart"/>
      <w:r w:rsidRPr="00A9787B">
        <w:rPr>
          <w:b/>
          <w:bCs/>
          <w:i/>
          <w:iCs/>
        </w:rPr>
        <w:t>PatientInnen</w:t>
      </w:r>
      <w:proofErr w:type="spellEnd"/>
      <w:r w:rsidRPr="00A9787B">
        <w:rPr>
          <w:b/>
          <w:bCs/>
          <w:i/>
          <w:iCs/>
        </w:rPr>
        <w:t xml:space="preserve"> haben und Menschen sollen die für sie besten Medikamente erhalten. Eine qualitativ hochwertige Gesundheitsbetreuung erfordert auch Arbeitszeiten und –</w:t>
      </w:r>
      <w:proofErr w:type="spellStart"/>
      <w:r w:rsidRPr="00A9787B">
        <w:rPr>
          <w:b/>
          <w:bCs/>
          <w:i/>
          <w:iCs/>
        </w:rPr>
        <w:t>bedingungen</w:t>
      </w:r>
      <w:proofErr w:type="spellEnd"/>
      <w:r w:rsidRPr="00A9787B">
        <w:rPr>
          <w:b/>
          <w:bCs/>
          <w:i/>
          <w:iCs/>
        </w:rPr>
        <w:t xml:space="preserve">, die dies ermöglichen. Das gilt v.  a. für das Pflegepersonal und junge </w:t>
      </w:r>
      <w:proofErr w:type="spellStart"/>
      <w:r w:rsidRPr="00A9787B">
        <w:rPr>
          <w:b/>
          <w:bCs/>
          <w:i/>
          <w:iCs/>
        </w:rPr>
        <w:t>ÄrztInnen</w:t>
      </w:r>
      <w:proofErr w:type="spellEnd"/>
      <w:r w:rsidRPr="00A9787B">
        <w:rPr>
          <w:b/>
          <w:bCs/>
          <w:i/>
          <w:iCs/>
        </w:rPr>
        <w:t xml:space="preserve">. </w:t>
      </w:r>
    </w:p>
    <w:p w:rsidR="00A9787B" w:rsidRPr="00A9787B" w:rsidRDefault="00A9787B" w:rsidP="00A9787B">
      <w:pPr>
        <w:pStyle w:val="ZGBFlietext"/>
        <w:rPr>
          <w:b/>
          <w:bCs/>
          <w:i/>
          <w:iCs/>
        </w:rPr>
      </w:pPr>
      <w:r w:rsidRPr="00A9787B">
        <w:rPr>
          <w:b/>
          <w:bCs/>
          <w:i/>
          <w:iCs/>
        </w:rPr>
        <w:t>Auch der Bedarf an qualitativ hochwertiger und leistbarer Pflege liegt in Österreich über dem vorhandenen Angebot. Die Einrichtung des Pflegefonds ist ein Schritt in die richtige Richtung. Er stellt jedoch nicht sicher, dass der Bedarf gedeckt wird. Unsere Vision ist, das Recht auf qualitative und leistbare Pflege für alle Menschen in Österreich, die dieser bedürfen, umzusetzen. Für den Ausbau und die notwendigen Verbesserungen bedarf es unterschiedlicher Maßnahmen. Nur durch deren Kombination kann sichergestellt werden, dass pflege- und betreuungsbedürftige Menschen Zugang zu qualitativ hochwertiger, leistbarer und bedürfnisorientierter Pflege und Betreuung haben, und dass die im Pflegebereich Beschäftigten gute Rahmenbedingungen vorfinden, um diese enorm wichtige Tätigkeit im Interesse der Pflegebedürftigen noch besser und professioneller ausführen zu können. Dabei geht es nicht zuletzt auch um die Sicherung und Verbesserung qualitätsvoller Arbeitsplätze für viele Frauen. Auch die Beteiligung von Männern im Pflegebereich soll langfristig deutlich gefördert werden.</w:t>
      </w:r>
    </w:p>
    <w:p w:rsidR="000F1753" w:rsidRDefault="000F1753" w:rsidP="000F1753">
      <w:pPr>
        <w:pStyle w:val="ZGBFlietext"/>
      </w:pPr>
    </w:p>
    <w:p w:rsidR="000F1753" w:rsidRDefault="000F1753" w:rsidP="000F1753">
      <w:pPr>
        <w:pStyle w:val="ZGBManahme"/>
      </w:pPr>
      <w:r w:rsidRPr="000F1753">
        <w:t>Ein Zielkatalog für qualitativ hochwertige Gesundheitsversorgung</w:t>
      </w:r>
    </w:p>
    <w:p w:rsidR="00A9787B" w:rsidRPr="00A9787B" w:rsidRDefault="00A9787B" w:rsidP="00A9787B">
      <w:pPr>
        <w:pStyle w:val="ZGBFlietext"/>
      </w:pPr>
      <w:r w:rsidRPr="00A9787B">
        <w:t>Die Weiterentwicklung unseres Gesundheitssystems erfordert in einem ersten Schritt die Erarbeitung eines Zielkatalogs hinsichtlich dessen, wie eine qualitativ hochwertige Gesund</w:t>
      </w:r>
      <w:r w:rsidR="005D14E2">
        <w:t xml:space="preserve">heitsversorgung für Menschen in </w:t>
      </w:r>
      <w:r w:rsidRPr="00A9787B">
        <w:t>Ös</w:t>
      </w:r>
      <w:r w:rsidR="005D14E2">
        <w:t xml:space="preserve">terreich definiert ist. Dieser </w:t>
      </w:r>
      <w:r w:rsidRPr="00A9787B">
        <w:t xml:space="preserve">Katalog muss auch den Bereich der Prävention umfassen, u. a. wie Arbeitsbedingungen, die Wohnsituation oder die soziale Situation verbessert und wie der Zugang zu gesunden, leistbaren Lebensmitteln sichergestellt werden kann. Auf Basis dieser Zielformulierung ist der Umbau des bestehenden Systems zu entwickeln. Dafür braucht es dann auch entsprechende Anschubfinanzierungen. </w:t>
      </w:r>
    </w:p>
    <w:p w:rsidR="000F1753" w:rsidRDefault="00A9787B" w:rsidP="000F1753">
      <w:pPr>
        <w:pStyle w:val="ZGBFlietext"/>
      </w:pPr>
      <w:r w:rsidRPr="00A9787B">
        <w:t>Leistungsausweitungen dürfen mit dem Argument „zu wenig Geld“ kein Tabu mehr sein; gerade in Bereichen wie zahnärztliche Behandlung oder Psychotherapie besteht großer Nachholbedarf. Außerdem soll angestrebt werden, dass nicht nur 99% der in Österreich lebenden Bevölkerung krankenversichert sind, sondern - wie in anderen Ländern üblich - die Gesamtbevölk</w:t>
      </w:r>
      <w:r w:rsidR="00AB1A87">
        <w:t>erung ausnahmslos erfasst wird.</w:t>
      </w:r>
    </w:p>
    <w:p w:rsidR="000F1753" w:rsidRDefault="000F1753" w:rsidP="000F1753">
      <w:pPr>
        <w:pStyle w:val="ZGBFlietext"/>
      </w:pPr>
    </w:p>
    <w:p w:rsidR="000F1753" w:rsidRDefault="000F1753" w:rsidP="00564093">
      <w:pPr>
        <w:pStyle w:val="ZGBManahme"/>
      </w:pPr>
      <w:r w:rsidRPr="000F1753">
        <w:t xml:space="preserve">Höhere Löhne </w:t>
      </w:r>
      <w:r w:rsidR="005D14E2">
        <w:t xml:space="preserve">und Gehälter </w:t>
      </w:r>
      <w:r w:rsidRPr="000F1753">
        <w:t>für das Personal im Pflegebereich</w:t>
      </w:r>
    </w:p>
    <w:p w:rsidR="005D14E2" w:rsidRPr="005D14E2" w:rsidRDefault="005D14E2" w:rsidP="005D14E2">
      <w:pPr>
        <w:pStyle w:val="ZGBFlietext"/>
      </w:pPr>
      <w:r w:rsidRPr="005D14E2">
        <w:t>Die Anhebung des Lohnniveaus der im Pflegebereich Beschäftigten an das durchschnittliche Einkommen der Angestellten in Österreich kostet 150 Mio.  Euro. Diese Maßnahme würde nicht nur diese essentielle Tätigkeit aufwerten, sondern auch einen aktiven Beitrag zur Schließung der Einkommensschere zwischen Mann und Frau leisten und die Armutsgefährdung einer ganzen Berufsgruppe reduzieren.</w:t>
      </w:r>
    </w:p>
    <w:p w:rsidR="000F1753" w:rsidRDefault="000F1753" w:rsidP="000F1753">
      <w:pPr>
        <w:pStyle w:val="ZGBFlietext"/>
      </w:pPr>
    </w:p>
    <w:p w:rsidR="005D14E2" w:rsidRDefault="005D14E2" w:rsidP="005D14E2">
      <w:pPr>
        <w:pStyle w:val="ZGBFlietext"/>
        <w:rPr>
          <w:rFonts w:cs="Verdana"/>
          <w:b/>
          <w:bCs/>
          <w:color w:val="auto"/>
          <w:sz w:val="28"/>
          <w:szCs w:val="28"/>
          <w:lang w:val="de-AT"/>
        </w:rPr>
      </w:pPr>
      <w:r w:rsidRPr="005D14E2">
        <w:rPr>
          <w:rFonts w:cs="Verdana"/>
          <w:b/>
          <w:bCs/>
          <w:sz w:val="28"/>
          <w:szCs w:val="28"/>
        </w:rPr>
        <w:t>Qual</w:t>
      </w:r>
      <w:r>
        <w:rPr>
          <w:rFonts w:cs="Verdana"/>
          <w:b/>
          <w:bCs/>
          <w:sz w:val="28"/>
          <w:szCs w:val="28"/>
        </w:rPr>
        <w:t xml:space="preserve">ifizierung des Pflegepersonals </w:t>
      </w:r>
      <w:r w:rsidRPr="005D14E2">
        <w:rPr>
          <w:rFonts w:cs="Verdana"/>
          <w:b/>
          <w:bCs/>
          <w:color w:val="auto"/>
          <w:sz w:val="28"/>
          <w:szCs w:val="28"/>
          <w:lang w:val="de-AT"/>
        </w:rPr>
        <w:t>und Qualitätssicherung der Pflege</w:t>
      </w:r>
    </w:p>
    <w:p w:rsidR="005D14E2" w:rsidRPr="005D14E2" w:rsidRDefault="005D14E2" w:rsidP="005D14E2">
      <w:pPr>
        <w:pStyle w:val="ZGBFlietext"/>
      </w:pPr>
      <w:r w:rsidRPr="005D14E2">
        <w:t xml:space="preserve">Rund 230.000 Personen sind derzeit laut Sozialministerium im Pflege- und Gesundheitswesen beschäftigt. Sie leisten täglich körperlich schwere und auch psychisch belastende Arbeit. Sie sollen bei der Bewältigung ihrer </w:t>
      </w:r>
      <w:r w:rsidRPr="005D14E2">
        <w:lastRenderedPageBreak/>
        <w:t>gesellschaftlich wichtigen Aufgabe mehr Unterstützung erhalten. Wenn das Ziel ist, dass Menschen in diesen Berufen länger in Beschäftigung bleiben, dann müssen sie auch entsprechend begleitet werden. Eine Qualifizierungs- und Qualitätssicherungsoffensive kommt letztlich vor allem jenen Personen zugute, die auf Pflege oder Betreuung angewiesen sind. In einem ersten Schritt stehen für jeden dieser Beschäftigen 500 Euro pro Jahr für Qualifizierungsmaßnahmen zur Verfügung, das bedeutet eine Sofortinvestition von 115 Mio.  Euro. Diese Maßnahme wird auch dazu beitragen, Arbeitsplätze in den Pflege- und Sozialberufen wieder attraktiver zu machen - angesichts des Pflegekräftemangels ein wichtiger Schritt zur Versorgung der Pflegebedürftigen.</w:t>
      </w:r>
    </w:p>
    <w:p w:rsidR="000F1753" w:rsidRDefault="000F1753" w:rsidP="000F1753">
      <w:pPr>
        <w:pStyle w:val="ZGBFlietext"/>
      </w:pPr>
    </w:p>
    <w:p w:rsidR="000F1753" w:rsidRPr="00564093" w:rsidRDefault="000F1753" w:rsidP="00564093">
      <w:pPr>
        <w:pStyle w:val="ZGBManahme"/>
      </w:pPr>
      <w:r w:rsidRPr="00564093">
        <w:t>Aufstockung der Mittel des bundesweiten Pflegefonds und Fortführung nach 2016</w:t>
      </w:r>
    </w:p>
    <w:p w:rsidR="005D14E2" w:rsidRPr="005D14E2" w:rsidRDefault="005D14E2" w:rsidP="005D14E2">
      <w:pPr>
        <w:pStyle w:val="ZGBFlietext"/>
      </w:pPr>
      <w:r w:rsidRPr="005D14E2">
        <w:t xml:space="preserve">Die Einführung des Pflegefonds 2011 war eine wichtige Maßnahme zur Verbesserung der Pflegedienstleistungen. Der Fonds wurde ursprünglich mit insgesamt 685 Mio.  Euro dotiert, die über vier Jahre bis 2014 ausgegeben werden. 2013 wurde der Pflegefond bis 2016 und kürzlich bis 2018 verlängert und mit weiteren 700 Mio. Euro versehen. Der Gesamtfinanzierungsbedarf wird vom WIFO für das Jahr 2020 auf bis zu 6,2 Mrd.  Euro geschätzt. Derzeit sind für das Budget 2015 4 Mrd.  Euro vorgesehen. Um die notwendigen Mittel für den Pflegebereich sicherzustellen, muss der Pflegefonds auch nach 2018 bestehen bleiben. Die bereits vorhandenen Mittel müssen substantiell aufgestockt werden und bis 2020 jährlich zunehmen, um die Finanzierungslücke bis 2020 zu schließen. Für 2015 sollte der Pflegefonds mit zusätzlichen 500 Mio.  Euro ausgestattet werden. Die Finanzierung des Fonds soll aus vermögensbasierten Steuern sichergestellt werden. Das trägt zu einer gerechteren Steuerstruktur und zu einer gerechteren, solidarischeren Finanzierung der Pflege und Betreuung bei. </w:t>
      </w:r>
    </w:p>
    <w:p w:rsidR="005A1F43" w:rsidRDefault="005A1F43" w:rsidP="005A1F43">
      <w:pPr>
        <w:pStyle w:val="ZGBFlietext"/>
      </w:pPr>
    </w:p>
    <w:p w:rsidR="005A1F43" w:rsidRPr="00564093" w:rsidRDefault="005A1F43" w:rsidP="00564093">
      <w:pPr>
        <w:pStyle w:val="ZGBManahme"/>
      </w:pPr>
      <w:r w:rsidRPr="00564093">
        <w:t xml:space="preserve">Valorisierung des Pflegegeldes um 10 % </w:t>
      </w:r>
    </w:p>
    <w:p w:rsidR="005D14E2" w:rsidRPr="005D14E2" w:rsidRDefault="005D14E2" w:rsidP="005D14E2">
      <w:pPr>
        <w:pStyle w:val="ZGBFlietext"/>
      </w:pPr>
      <w:r w:rsidRPr="005D14E2">
        <w:t xml:space="preserve">Das Pflegegeld wurde seit mehreren Jahren nicht wertangepasst und hat somit seit seiner Einführung an realem Wert verloren. Neben dem Ausbau von Sachleistungen ist daher auch die Wertanpassung des Pflegegeldes notwendig. Wir schlagen eine Valorisierung um 10% vor. Im Jahresdurchschnitt 2013 wurden für das Pflegegeld 2,47 Mrd. Euro ausgegeben. Die Valorisierung kostet daher 247 Mio. Euro. </w:t>
      </w:r>
    </w:p>
    <w:p w:rsidR="006738E5" w:rsidRDefault="006738E5" w:rsidP="005A5AB7">
      <w:pPr>
        <w:pStyle w:val="ZGBFlietext"/>
      </w:pPr>
    </w:p>
    <w:p w:rsidR="006738E5" w:rsidRPr="005A5AB7" w:rsidRDefault="006738E5" w:rsidP="005A5AB7">
      <w:pPr>
        <w:pStyle w:val="ZGBFlietext"/>
      </w:pPr>
    </w:p>
    <w:p w:rsidR="000F1753" w:rsidRDefault="005A1F43" w:rsidP="009A6654">
      <w:pPr>
        <w:pStyle w:val="berschrift2"/>
      </w:pPr>
      <w:bookmarkStart w:id="14" w:name="_Toc406072757"/>
      <w:r w:rsidRPr="005A1F43">
        <w:t>Armutsprävention statt Almosen</w:t>
      </w:r>
      <w:bookmarkEnd w:id="14"/>
    </w:p>
    <w:p w:rsidR="005A1F43" w:rsidRPr="005A1F43" w:rsidRDefault="005A1F43" w:rsidP="005A1F43">
      <w:pPr>
        <w:pStyle w:val="ZGBEinleitung"/>
      </w:pPr>
    </w:p>
    <w:p w:rsidR="005D14E2" w:rsidRPr="005D14E2" w:rsidRDefault="005D14E2" w:rsidP="005D14E2">
      <w:pPr>
        <w:pStyle w:val="ZGBFlietext"/>
        <w:rPr>
          <w:b/>
          <w:bCs/>
          <w:i/>
          <w:iCs/>
        </w:rPr>
      </w:pPr>
      <w:r w:rsidRPr="005D14E2">
        <w:rPr>
          <w:b/>
          <w:bCs/>
          <w:i/>
          <w:iCs/>
        </w:rPr>
        <w:t xml:space="preserve">Neben dem Ausbau sozialer Infrastruktur und Investitionen in integrative Arbeitsmarktpolitik (siehe Kapitel „Arbeit gerecht verteilen“) bilden adäquate monetäre und nicht-monetäre Sozialleistungen ein zentrales Element nachhaltiger Bekämpfung von Armut und sozialer Ungleichheit. Monetäre Sozialleistungen sind etwa das Arbeitslosengeld, die Mindestsicherung (auch für Kinder und </w:t>
      </w:r>
      <w:proofErr w:type="spellStart"/>
      <w:r w:rsidRPr="005D14E2">
        <w:rPr>
          <w:b/>
          <w:bCs/>
          <w:i/>
          <w:iCs/>
        </w:rPr>
        <w:t>MigrantInnen</w:t>
      </w:r>
      <w:proofErr w:type="spellEnd"/>
      <w:r w:rsidRPr="005D14E2">
        <w:rPr>
          <w:b/>
          <w:bCs/>
          <w:i/>
          <w:iCs/>
        </w:rPr>
        <w:t xml:space="preserve">), das Kinderbetreuungsgeld, der Unterhaltsvorschuss oder die Mindestpensionen. Daneben sind es aber auch nicht-monetäre Sozialleistungen, wie z. B. Beratungsangebote, die Menschen über ihre Rechte und Möglichkeiten informieren und sie dabei unterstützen, diese wahrzunehmen und so Armut vorbeugen. Das Zivilgesellschaftliche Zukunftsbudget setzt daher auf Armutsprävention statt Almosen und setzt Prioritäten dort, wo Maßnahmen dazu beitragen, Armut strukturell zu verhindern. </w:t>
      </w:r>
    </w:p>
    <w:p w:rsidR="005A1F43" w:rsidRDefault="005A1F43" w:rsidP="005A1F43">
      <w:pPr>
        <w:pStyle w:val="ZGBFlietext"/>
      </w:pPr>
    </w:p>
    <w:p w:rsidR="005A1F43" w:rsidRPr="005A1F43" w:rsidRDefault="005A1F43" w:rsidP="005A1F43">
      <w:pPr>
        <w:pStyle w:val="ZGBManahme"/>
      </w:pPr>
      <w:r w:rsidRPr="005A1F43">
        <w:t>Auszahlung Mindestsicherung 14x (statt 12x)</w:t>
      </w:r>
    </w:p>
    <w:p w:rsidR="005D14E2" w:rsidRPr="005D14E2" w:rsidRDefault="005D14E2" w:rsidP="005D14E2">
      <w:pPr>
        <w:pStyle w:val="ZGBFlietext"/>
      </w:pPr>
      <w:r w:rsidRPr="005D14E2">
        <w:t>Die Mindestsicherung, für die Einkommen, Vermögen und Unterhalt zusammengerechnet werden, wird im Unterschied zu Löhnen und Gehältern derzeit nur 12mal im Jahr ausbezahlt. Das bedeutet, dass Minijobber, denen ihr Zuverdienst von der Mindestsicherung abgezogen wird, trotz Erwerbstätigkeit mit rund 9000 Euro jährlich über die Runden kommen müssen. Die Höhe der Mindestsicherung liegt ohnehin schon unterhalb der Armutsgrenze, eine 14malige Auszahlung ist also dringend notwendig, um strukturelle Armut nicht zum Regelfall zu machen. Die Kosten für die Anpassung der bedarfsorientierten Mindestsicherung von 12- auf 14malige Auszahlung und weitere Verbesserungen der Mindestsicherung betragen 200 Mio.  Euro. Zudem darf in Lebensgemeinschaften, in denen kein Unterhaltsanspruch besteht, das Einkommen des Partners/der Partnerin nicht angerechnet werden. Als nächster Schritt ist längerfristig eine generelle Anhebung der Mindestsicherung auf ein existenzsicherndes Niveau umzusetzen.</w:t>
      </w:r>
    </w:p>
    <w:p w:rsidR="005A1F43" w:rsidRDefault="005A1F43" w:rsidP="005A1F43">
      <w:pPr>
        <w:pStyle w:val="ZGBFlietext"/>
      </w:pPr>
    </w:p>
    <w:p w:rsidR="00AB1A87" w:rsidRDefault="00AB1A87" w:rsidP="005A1F43">
      <w:pPr>
        <w:pStyle w:val="ZGBManahme"/>
      </w:pPr>
    </w:p>
    <w:p w:rsidR="005A1F43" w:rsidRDefault="005A1F43" w:rsidP="005A1F43">
      <w:pPr>
        <w:pStyle w:val="ZGBManahme"/>
      </w:pPr>
      <w:r w:rsidRPr="005A1F43">
        <w:lastRenderedPageBreak/>
        <w:t>Reform der Hilfe in besonderen Lebenslagen</w:t>
      </w:r>
    </w:p>
    <w:p w:rsidR="005A1F43" w:rsidRDefault="005D14E2" w:rsidP="005D14E2">
      <w:r w:rsidRPr="005D14E2">
        <w:t>Diese soll von der derzeitigen Kann-Bestimmung in einen Rechtsanspruch umgewandelt werden. Personen, die darum ansuchen, sollen diese – sofern sie die Voraussetzungen erfüllen – erhalten. Ebenso braucht es eine Anhebung der Sätze.</w:t>
      </w:r>
    </w:p>
    <w:p w:rsidR="005A1F43" w:rsidRPr="005A1F43" w:rsidRDefault="005A1F43" w:rsidP="005A1F43">
      <w:pPr>
        <w:pStyle w:val="ZGBManahme"/>
      </w:pPr>
      <w:r w:rsidRPr="005A1F43">
        <w:t>Verbesserungen für Kinder und Alleinerziehende</w:t>
      </w:r>
    </w:p>
    <w:p w:rsidR="005D14E2" w:rsidRPr="005D14E2" w:rsidRDefault="005D14E2" w:rsidP="005D14E2">
      <w:pPr>
        <w:pStyle w:val="ZGBFlietext"/>
      </w:pPr>
      <w:r w:rsidRPr="005D14E2">
        <w:t>Gemäß der aktuellen EU-SILC Erhebung von 2012 sind rund 304.000 Kinder und Jugendliche bis 20 Jahre in Österreich armutsgefährdet. 127.000 dieser Kinder und Jugendlichen sind manifest arm, d.  h. unter anderem, dass ihre Eltern es sich nicht leisten können,  sie ordentlich zu ernähren oder sie in nicht angemessen warm gehaltenen Wohnungen leben. Sie leiden besonders unter der Notlage ihrer Familien. Daher sollten die Kinderzuschläge in der Mindestsicherung auf die Hälfte des Richtsatzes für Erwachsene angehoben werden. Diese Erhöhung würde rund 80 Mio. Euro kosten.</w:t>
      </w:r>
    </w:p>
    <w:p w:rsidR="005D14E2" w:rsidRPr="005D14E2" w:rsidRDefault="005D14E2" w:rsidP="005D14E2">
      <w:pPr>
        <w:pStyle w:val="ZGBFlietext"/>
      </w:pPr>
      <w:r w:rsidRPr="005D14E2">
        <w:t xml:space="preserve">Alleinerziehende, die in besonders hohem Ausmaß von Armut betroffen sind, sollen einen um 20% höheren Richtsatz erhalten. Die Kosten für eine massive Verbesserung der Lebenssituation dieser Menschen wären gering: Würde man diesen Aufschlag allen Alleinerziehenden gewähren, beliefen sich die zusätzlichen Ausgaben auf maximal rund 37 Mio. Euro. </w:t>
      </w:r>
    </w:p>
    <w:p w:rsidR="005D14E2" w:rsidRPr="005D14E2" w:rsidRDefault="005D14E2" w:rsidP="005D14E2">
      <w:pPr>
        <w:pStyle w:val="ZGBFlietext"/>
      </w:pPr>
      <w:r w:rsidRPr="005D14E2">
        <w:t xml:space="preserve">Gerade für Familien ist aber der beste Weg zur Armutsvermeidung die Erwerbstätigkeit der Eltern: Zwar sind Haushalte mit drei und mehr Kindern überdurchschnittlich armutsgefährdet (18% gegenüber 12% im Bevölkerungsschnitt) – geht aber die Mutter einer Erwerbstätigkeit nach, sinkt die Armutsgefährdung auf 8% - und liegt damit deutlich unter dem Bevölkerungsschnitt. Daher sollen Armutsgefährdete, die ein Kind oder einen pflegebedürftigen Erwachsenen betreuen, einen Rechtsanspruch auf entsprechende Unterstützung (Kinderbetreuungsplatz, mobile Pflege etc.) erhalten, damit sie leichter einer Arbeit nachgehen können. </w:t>
      </w:r>
    </w:p>
    <w:p w:rsidR="005A1F43" w:rsidRDefault="005A1F43" w:rsidP="005A1F43">
      <w:pPr>
        <w:pStyle w:val="ZGBFlietext"/>
      </w:pPr>
    </w:p>
    <w:p w:rsidR="005D14E2" w:rsidRPr="005D14E2" w:rsidRDefault="005A1F43" w:rsidP="005D14E2">
      <w:pPr>
        <w:pStyle w:val="ZGBManahme"/>
      </w:pPr>
      <w:r w:rsidRPr="005A1F43">
        <w:t>Anhebung des Arbeitslosengeldes</w:t>
      </w:r>
      <w:r w:rsidR="005D14E2">
        <w:t xml:space="preserve"> </w:t>
      </w:r>
      <w:r w:rsidR="005D14E2" w:rsidRPr="005D14E2">
        <w:t>und Reform der Bezugskriterien</w:t>
      </w:r>
    </w:p>
    <w:p w:rsidR="005A1F43" w:rsidRDefault="005D14E2" w:rsidP="00AB1A87">
      <w:r w:rsidRPr="005D14E2">
        <w:t xml:space="preserve">Aufgrund der niedrigen Nettoersatzrate beim Arbeitslosengeld (55%) verfügen viele arbeitslose Menschen nicht über ein existenzsicherndes Einkommen. Arbeitslosengeld ist aber kein Almosen sondern ein Rechtsanspruch, der aus der Einzahlung in die Arbeitslosenversicherung entsteht. Die Höhe darf daher nicht unter dem Existenzminimum liegen. Wir schlagen folgende Reformmaßnahmen vor: Es braucht eine Anhebung der Nettoersatzrate von derzeit 55% auf mindestens </w:t>
      </w:r>
      <w:r w:rsidRPr="005D14E2">
        <w:br/>
        <w:t xml:space="preserve">70% und eine Verlängerung der Bezugsdauer auf mindestens 39 Wochen. Darüber hinaus soll </w:t>
      </w:r>
      <w:proofErr w:type="spellStart"/>
      <w:r w:rsidRPr="005D14E2">
        <w:t>BezieherInnen</w:t>
      </w:r>
      <w:proofErr w:type="spellEnd"/>
      <w:r w:rsidRPr="005D14E2">
        <w:t xml:space="preserve"> von Arbeitslosengeld die Möglichkeit von Pflegefreistellung, Bildungskarenz und auch fünf Wochen „Urlaub“ (vermittlungsfreie Zeit) pro Jahr zugestanden werden. </w:t>
      </w:r>
      <w:proofErr w:type="spellStart"/>
      <w:r w:rsidRPr="005D14E2">
        <w:t>Weiters</w:t>
      </w:r>
      <w:proofErr w:type="spellEnd"/>
      <w:r w:rsidRPr="005D14E2">
        <w:t xml:space="preserve"> muss die Anrechnung des </w:t>
      </w:r>
      <w:proofErr w:type="spellStart"/>
      <w:r w:rsidRPr="005D14E2">
        <w:t>PartnerInneneinkommens</w:t>
      </w:r>
      <w:proofErr w:type="spellEnd"/>
      <w:r w:rsidRPr="005D14E2">
        <w:t xml:space="preserve"> in der Notstandshilfe abgeschafft werden. Diese Regelung trifft zu vier Fünftel Frauen, die keine Leistung bekommen, obwohl sie Beiträge eingezahlt haben. Eine Sperre des Leistungsbezuges darf erst nach Eintreten der Rechtskraft verhängt werden. Die Erhöhung des Arbeitslosengeldes kostet je nach Berechnungsmethode zwischen 350 bis 470 Mio.  Euro und ermöglicht tausenden Menschen, sich ohne Existenzängste auf die Jobsuche zu konzentrieren. Weitere Vorschläge zur Reform der Arbeitsmarktpolitik finden sich im Kapitel au</w:t>
      </w:r>
      <w:r w:rsidR="00AB1A87">
        <w:t>f Seite 44.</w:t>
      </w:r>
    </w:p>
    <w:p w:rsidR="005A1F43" w:rsidRDefault="005A1F43" w:rsidP="005A1F43">
      <w:pPr>
        <w:pStyle w:val="ZGBManahme"/>
      </w:pPr>
      <w:r w:rsidRPr="005A1F43">
        <w:t>Ausbau der Beratungseinrichtungen</w:t>
      </w:r>
    </w:p>
    <w:p w:rsidR="005A1F43" w:rsidRDefault="005D14E2" w:rsidP="00AB1A87">
      <w:r w:rsidRPr="005D14E2">
        <w:t xml:space="preserve">Soziale Organisationen und Beratungseinrichtungen leisten unverzichtbare Dienste in einer Vielzahl von Krisensituationen und tragen damit zur Sicherung des sozialen Zusammenhalts bei. Um ihre Rolle zu stärken und den Zugang zu Beratung auch in ländlichen Regionen zu verbessern, werden zunächst weitere 30 Mio.  Euro in den Ausbau von Beratungsstellen und in die von sozialen Organisationen geleistete Präventionsarbeit - wie etwa in </w:t>
      </w:r>
      <w:proofErr w:type="spellStart"/>
      <w:r w:rsidRPr="005D14E2">
        <w:t>SchuldnerInnenberatung</w:t>
      </w:r>
      <w:proofErr w:type="spellEnd"/>
      <w:r w:rsidRPr="005D14E2">
        <w:t xml:space="preserve">, Frauen- und Familienberatung, </w:t>
      </w:r>
      <w:proofErr w:type="spellStart"/>
      <w:r w:rsidRPr="005D14E2">
        <w:t>MigrantInnenberatung</w:t>
      </w:r>
      <w:proofErr w:type="spellEnd"/>
      <w:r w:rsidRPr="005D14E2">
        <w:t xml:space="preserve">, allgemeine Sozialberatung, ambulante Betreuung Strafgefangener, Gewaltprävention und Frauenhäuser - investiert. Volkswirtschaftliche Studien zur Arbeit der </w:t>
      </w:r>
      <w:proofErr w:type="spellStart"/>
      <w:r w:rsidRPr="005D14E2">
        <w:t>SchuldnerInnenberatung</w:t>
      </w:r>
      <w:proofErr w:type="spellEnd"/>
      <w:r w:rsidRPr="005D14E2">
        <w:t xml:space="preserve"> zeigen, dass solche Investitionen sich rechnen. Im Falle der </w:t>
      </w:r>
      <w:proofErr w:type="spellStart"/>
      <w:r w:rsidRPr="005D14E2">
        <w:t>SchuldnerInnenberatung</w:t>
      </w:r>
      <w:proofErr w:type="spellEnd"/>
      <w:r w:rsidRPr="005D14E2">
        <w:t xml:space="preserve"> z. B. stehen jedem einzelnen Euro an Investition öffentlicher Gelder mindestens 2,5 Euro an Ersparnissen und zusätzlichen Staatseinnahmen gegenüber, vor allem durch die erfolgreiche Integration in den Arbeitsmarkt. Darüber hinaus ist mit diesen Mitteln auch die Stärkung von Selbstorganisationen, Initiativen der Selbstvertretung und Peer-Beratung Betroffener sicher zu stellen.</w:t>
      </w:r>
    </w:p>
    <w:p w:rsidR="005A1F43" w:rsidRDefault="005A1F43" w:rsidP="005A1F43">
      <w:pPr>
        <w:pStyle w:val="ZGBManahme"/>
      </w:pPr>
    </w:p>
    <w:p w:rsidR="005A1F43" w:rsidRDefault="005A1F43" w:rsidP="009A6654">
      <w:pPr>
        <w:pStyle w:val="berschrift2"/>
      </w:pPr>
      <w:bookmarkStart w:id="15" w:name="_Toc406072758"/>
      <w:r w:rsidRPr="005A1F43">
        <w:t>Arbeit gerecht verteilen!</w:t>
      </w:r>
      <w:bookmarkEnd w:id="15"/>
    </w:p>
    <w:p w:rsidR="005A1F43" w:rsidRDefault="005A1F43" w:rsidP="005A1F43">
      <w:pPr>
        <w:pStyle w:val="ZGBFlietext"/>
      </w:pPr>
    </w:p>
    <w:p w:rsidR="005D14E2" w:rsidRPr="005D14E2" w:rsidRDefault="005D14E2" w:rsidP="005D14E2">
      <w:pPr>
        <w:pStyle w:val="ZGBEinleitung"/>
        <w:rPr>
          <w:bCs/>
          <w:iCs/>
        </w:rPr>
      </w:pPr>
      <w:r w:rsidRPr="005D14E2">
        <w:rPr>
          <w:bCs/>
          <w:iCs/>
        </w:rPr>
        <w:t xml:space="preserve">Auch wenn im Vergleich mit anderen EU-Ländern die Arbeitslosigkeit in Österreich geringer ist: Die Zahl der Menschen ohne Arbeit oder in prekären Arbeitsverhältnissen ist in Österreich seit 2007 dramatisch gestiegen. 2013 waren im Jahresdurchschnitt mehr als 360.000 Menschen ohne Arbeit – Tendenz stark steigend. Zwar steigt die Zahl der Beschäftigten geringfügig, jedoch basiert dieser Anstieg auf einer Zunahme an vorwiegend nicht-existenzsichernden Teilzeitbeschäftigungen. Gleichzeitig leiden immer mehr Menschen an Burnout bzw. sind überlastet. Eine erfolgreiche Arbeitsmarktpolitik muss sich an den Bedürfnissen der </w:t>
      </w:r>
      <w:proofErr w:type="spellStart"/>
      <w:r w:rsidRPr="005D14E2">
        <w:rPr>
          <w:bCs/>
          <w:iCs/>
        </w:rPr>
        <w:t>ArbeitnehmerInnen</w:t>
      </w:r>
      <w:proofErr w:type="spellEnd"/>
      <w:r w:rsidRPr="005D14E2">
        <w:rPr>
          <w:bCs/>
          <w:iCs/>
        </w:rPr>
        <w:t xml:space="preserve"> und an einer gerechten Verteilung von Arbeit orientieren. Darüber hinaus kann die heutige Arbeitslosigkeit in Österreich und Europa nicht mehr wie in der Vergangenheit mit mehr Wirtschaftswachstum beseitigt werden. Zum einen weil ein beschäftigungswirksames Wachstum von rund 3 Prozent unrealistisch ist, zum anderen weil dieses auf einer noch stärkeren Ausbeutung der Natur beruhen würde und damit die Klima- und Ökologiekrise verschärft. Es braucht daher – neben öffentlichen Investitionen in den ökologischen Umbau der Wirtschaft und den Ausbau von öffentlichen Dienstleistungen und Infrastruktur (Pflege, Kinderbetreuung, Mobilität etc.) – vor allem eine substantielle Arbeitszeitverkürzung. Die Normalarbeitszeit soll mittelfristig von derzeit 40 bzw. 38,5 auf 30 Stunden pro Woche reduziert werden. Abgesehen davon braucht es auch eine Reform der Arbeitsmarktpolitik, die sich nicht auf die Verwaltung von Arbeitslosen beschränkt, sondern Arbeitslosen den Weg in eine selbstbestimmte Zukunft ebnet und Arbeit anders organisiert. Von einer Arbeitszeitverkürzung profitieren alle – nicht nur in finanzieller Hinsicht. Denn unsere Lebensqualität steigt, wenn wir Arbeit gerechter verteilen. </w:t>
      </w:r>
    </w:p>
    <w:p w:rsidR="005A1F43" w:rsidRDefault="005A1F43" w:rsidP="005A1F43">
      <w:pPr>
        <w:pStyle w:val="ZGBEinleitung"/>
      </w:pPr>
    </w:p>
    <w:p w:rsidR="005A1F43" w:rsidRDefault="005A1F43" w:rsidP="005A1F43">
      <w:pPr>
        <w:pStyle w:val="ZGBFlietext"/>
      </w:pPr>
    </w:p>
    <w:p w:rsidR="005A1F43" w:rsidRDefault="005A1F43" w:rsidP="005A1F43">
      <w:pPr>
        <w:pStyle w:val="ZGBManahme"/>
      </w:pPr>
      <w:r w:rsidRPr="005A1F43">
        <w:t>Arbeitszeitverkürzungsoffensive</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Wenn die Vollzeitarbeitszeit mit Lohnausgleich verkürzt wird, kann Arbeit gerechter verteilt und insgesamt die Lebensqualität erhöht werden. Ziele einer umfassenden Arbeitszeitverkürzung der Wochenarbeitszeit aber auch der jährlichen Gesamtarbeitszeit sind:</w:t>
      </w:r>
    </w:p>
    <w:p w:rsidR="005D14E2" w:rsidRPr="005D14E2" w:rsidRDefault="005D14E2" w:rsidP="005D14E2">
      <w:pPr>
        <w:pStyle w:val="ZGBManahme"/>
        <w:numPr>
          <w:ilvl w:val="0"/>
          <w:numId w:val="34"/>
        </w:numPr>
        <w:rPr>
          <w:rFonts w:cs="MinionPro-Regular"/>
          <w:b w:val="0"/>
          <w:bCs w:val="0"/>
          <w:color w:val="000000" w:themeColor="text1"/>
          <w:sz w:val="22"/>
          <w:szCs w:val="22"/>
        </w:rPr>
      </w:pPr>
      <w:r w:rsidRPr="005D14E2">
        <w:rPr>
          <w:rFonts w:cs="MinionPro-Regular"/>
          <w:b w:val="0"/>
          <w:bCs w:val="0"/>
          <w:color w:val="000000" w:themeColor="text1"/>
          <w:sz w:val="22"/>
          <w:szCs w:val="22"/>
        </w:rPr>
        <w:t>eine gerechtere Verteilung von Erwerbsarbeit und somit weniger Arbeitslosigkeit</w:t>
      </w:r>
    </w:p>
    <w:p w:rsidR="005D14E2" w:rsidRPr="005D14E2" w:rsidRDefault="005D14E2" w:rsidP="005D14E2">
      <w:pPr>
        <w:pStyle w:val="ZGBManahme"/>
        <w:numPr>
          <w:ilvl w:val="0"/>
          <w:numId w:val="34"/>
        </w:numPr>
        <w:rPr>
          <w:rFonts w:cs="MinionPro-Regular"/>
          <w:b w:val="0"/>
          <w:bCs w:val="0"/>
          <w:color w:val="000000" w:themeColor="text1"/>
          <w:sz w:val="22"/>
          <w:szCs w:val="22"/>
        </w:rPr>
      </w:pPr>
      <w:r w:rsidRPr="005D14E2">
        <w:rPr>
          <w:rFonts w:cs="MinionPro-Regular"/>
          <w:b w:val="0"/>
          <w:bCs w:val="0"/>
          <w:color w:val="000000" w:themeColor="text1"/>
          <w:sz w:val="22"/>
          <w:szCs w:val="22"/>
        </w:rPr>
        <w:t>Arbeitsverhältnisse, die für die Beschäftigten gesünder sind (kein Burnout, Überbelastung)</w:t>
      </w:r>
    </w:p>
    <w:p w:rsidR="005D14E2" w:rsidRPr="005D14E2" w:rsidRDefault="005D14E2" w:rsidP="005D14E2">
      <w:pPr>
        <w:pStyle w:val="ZGBManahme"/>
        <w:numPr>
          <w:ilvl w:val="0"/>
          <w:numId w:val="34"/>
        </w:numPr>
        <w:rPr>
          <w:rFonts w:cs="MinionPro-Regular"/>
          <w:b w:val="0"/>
          <w:bCs w:val="0"/>
          <w:color w:val="000000" w:themeColor="text1"/>
          <w:sz w:val="22"/>
          <w:szCs w:val="22"/>
        </w:rPr>
      </w:pPr>
      <w:r w:rsidRPr="005D14E2">
        <w:rPr>
          <w:rFonts w:cs="MinionPro-Regular"/>
          <w:b w:val="0"/>
          <w:bCs w:val="0"/>
          <w:color w:val="000000" w:themeColor="text1"/>
          <w:sz w:val="22"/>
          <w:szCs w:val="22"/>
        </w:rPr>
        <w:t>eine gerechtere Verteilung der unbezahlten Care- bzw. Sorgearbeit (Kinder, Pflege etc.) und damit eine bessere Vereinbarkeit von Familie und Beruf und</w:t>
      </w:r>
    </w:p>
    <w:p w:rsidR="005D14E2" w:rsidRPr="005D14E2" w:rsidRDefault="005D14E2" w:rsidP="005D14E2">
      <w:pPr>
        <w:pStyle w:val="ZGBManahme"/>
        <w:numPr>
          <w:ilvl w:val="0"/>
          <w:numId w:val="34"/>
        </w:numPr>
        <w:rPr>
          <w:rFonts w:cs="MinionPro-Regular"/>
          <w:b w:val="0"/>
          <w:bCs w:val="0"/>
          <w:color w:val="000000" w:themeColor="text1"/>
          <w:sz w:val="22"/>
          <w:szCs w:val="22"/>
        </w:rPr>
      </w:pPr>
      <w:r w:rsidRPr="005D14E2">
        <w:rPr>
          <w:rFonts w:cs="MinionPro-Regular"/>
          <w:b w:val="0"/>
          <w:bCs w:val="0"/>
          <w:color w:val="000000" w:themeColor="text1"/>
          <w:sz w:val="22"/>
          <w:szCs w:val="22"/>
        </w:rPr>
        <w:t>die Berücksichtigung ökologischer und sozialer Ziele. Arbeitszeitverkürzung ist ökologische Arbeitsmarktpolitik.</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Kurzfristig streben wir eine Reduktion der Arbeitszeit auf 35 und mittelfristig auf 30 Wochenstunden für alle Branchen an. Auch die jährliche Gesamtarbeitszeit bzw. Lebensarbeitszeit soll u.a. über mehr Urlaub und die Ermöglichung eines </w:t>
      </w:r>
      <w:proofErr w:type="spellStart"/>
      <w:r w:rsidRPr="005D14E2">
        <w:rPr>
          <w:rFonts w:cs="MinionPro-Regular"/>
          <w:b w:val="0"/>
          <w:bCs w:val="0"/>
          <w:color w:val="000000" w:themeColor="text1"/>
          <w:sz w:val="22"/>
          <w:szCs w:val="22"/>
        </w:rPr>
        <w:t>Sabbaticals</w:t>
      </w:r>
      <w:proofErr w:type="spellEnd"/>
      <w:r w:rsidRPr="005D14E2">
        <w:rPr>
          <w:rFonts w:cs="MinionPro-Regular"/>
          <w:b w:val="0"/>
          <w:bCs w:val="0"/>
          <w:color w:val="000000" w:themeColor="text1"/>
          <w:sz w:val="22"/>
          <w:szCs w:val="22"/>
        </w:rPr>
        <w:t xml:space="preserve"> nach einigen Jahren Erwerbsarbeit reduziert werden. Voraussetzung einer Arbeitszeitverkürzung ist für uns, dass bei den unteren und mittleren Einkommen ein vollständiger Lohnausgleich erfolgt. Das ist nicht nur sozial und wirtschaftlich notwendig, sondern auch gerecht.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Um eine bessere Verteilung insbesondere der Lebensarbeitszeit zu ermöglichen muss jedenfalls ein Rechtsanspruch geschaffen werden, der es den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ermöglicht, ihre Arbeitszeit in bestimmten Lebensphasen einseitig sowohl herab- als auch hinaufzusetzen, sofern nicht zwingende betriebliche Gründe dem entgegenstehen. Derzeit besteht ein derartiger Rechtsanspruch nur im Fall der Elternschaft.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Eine Verringerung der gesetzlichen Arbeitszeit auf die angestrebten 35 Stunden (mittelfristig 30 Stunden) wird mehrere Teil-Schritte benötigen. Die gesetzliche Arbeitszeit ist in einem ersten Schritt auf 38,5 Stunden oder 38 Stunden und die verlängerte wöchentliche Normalarbeitszeit (bei Arbeitsbereitschaft) auf 48 Stunden zu kürzen. Für Personen, deren Kollektivvertrag bereits 38,5 oder 38 Wochenstunden vorsieht, insbesondere in der Sachgütererzeugung und im Sozialbereich, soll eine Verkürzung der Arbeitszeit von diesem Ausmaß weg erfolgen. Dabei ist der volle Lohnausgleich für geringe und mittlere Einkommen besonders wichtig </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 xml:space="preserve">Umsetzung der Arbeitszeitverkürzung auf 35h: Solidaritätsprämien-Modell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Um die maximale Arbeitsplatzwirksamkeit zu erzielen, braucht es zu Beginn eine staatliche Übergangsförderung nach dem Vorbild des Solidaritätsprämien-Modells. Dieses Modell sieht vor, dass bei </w:t>
      </w:r>
      <w:r w:rsidRPr="005D14E2">
        <w:rPr>
          <w:rFonts w:cs="MinionPro-Regular"/>
          <w:b w:val="0"/>
          <w:bCs w:val="0"/>
          <w:color w:val="000000" w:themeColor="text1"/>
          <w:sz w:val="22"/>
          <w:szCs w:val="22"/>
        </w:rPr>
        <w:lastRenderedPageBreak/>
        <w:t xml:space="preserve">freiwilliger Arbeitszeitverkürzung (z. B. vier Personen verringern ihre Arbeitszeit auf 80%, damit eine fünfte eingestellt werden kann) das AMS rund 55% des Lohnverlustes ausgleicht. Dies ist auch angemessen, weil eine Entlastung des AMS-Budgets im Ausmaß der Arbeitsplatzwirksamkeit der Verkürzungsmaßnahmen eintritt. Eine solche staatliche Förderung sollte auch bei einer gesetzlichen oder kollektivvertraglichen Arbeitszeitverkürzung für zwei bis drei Jahre gelten, am Beginn höher sein und in der Folge abnehmen. Sie ist nur für Klein- und Mittelbetriebe sowie für Unternehmen mit geringen Überschüssen nötig.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Eine Belastung durch die Arbeitszeitverkürzung für die Betriebe entsteht nur in dem Ausmaß, in dem neue Beschäftigte eingestellt werden. Das WIFO schätzt, dass rund 30% der rechnerischen Verringerung des Arbeitsvolumens unmittelbar arbeitsplatzwirksam sind, d. h. dass in diesem Ausmaß neue Arbeitsplätze entstehen.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Bei einer Anschubfinanzierung in Höhe von max. 50% des entfallenden Entgelts (bei einer Reduktion auf 35 Stunden)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sowie einem geschätzten Förderbedarf für sämtliche Unternehmen mit weniger als 20 </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und 20% der weiteren Betriebe bzw. Beschäftigten reichen rund 570 Mio. Euro zur Finanzierung aus. Dem steht eine Entlastung des AMS-Budgets (Zahlungen an Arbeitslosengeld) in fast gleicher Höhe gegenüber.</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Maßnahmen gegen Arbeitsverdichtung</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Um sicherzustellen, dass die Arbeitszeitverkürzung nicht durch Arbeitsverdichtung ausgeglichen wird, braucht es Mechanismen, die </w:t>
      </w:r>
      <w:proofErr w:type="spellStart"/>
      <w:r w:rsidRPr="005D14E2">
        <w:rPr>
          <w:rFonts w:cs="MinionPro-Regular"/>
          <w:b w:val="0"/>
          <w:bCs w:val="0"/>
          <w:color w:val="000000" w:themeColor="text1"/>
          <w:sz w:val="22"/>
          <w:szCs w:val="22"/>
        </w:rPr>
        <w:t>ArbeitgeberInnen</w:t>
      </w:r>
      <w:proofErr w:type="spellEnd"/>
      <w:r w:rsidRPr="005D14E2">
        <w:rPr>
          <w:rFonts w:cs="MinionPro-Regular"/>
          <w:b w:val="0"/>
          <w:bCs w:val="0"/>
          <w:color w:val="000000" w:themeColor="text1"/>
          <w:sz w:val="22"/>
          <w:szCs w:val="22"/>
        </w:rPr>
        <w:t xml:space="preserve"> wirksam zur Sicherstellung gesundheitsverträglicher Arbeitsbedingungen verpflichten. Dazu zählen u.a. die Verpflichtung zur Erstellung und Erörterung von Arbeitszeitbilanzen; die Konkretisierung der Evaluierungspflicht psychischer Belastungen entsprechend dem </w:t>
      </w:r>
      <w:proofErr w:type="spellStart"/>
      <w:r w:rsidRPr="005D14E2">
        <w:rPr>
          <w:rFonts w:cs="MinionPro-Regular"/>
          <w:b w:val="0"/>
          <w:bCs w:val="0"/>
          <w:color w:val="000000" w:themeColor="text1"/>
          <w:sz w:val="22"/>
          <w:szCs w:val="22"/>
        </w:rPr>
        <w:t>ArbeitnehmerInnenschutzgesetz</w:t>
      </w:r>
      <w:proofErr w:type="spellEnd"/>
      <w:r w:rsidRPr="005D14E2">
        <w:rPr>
          <w:rFonts w:cs="MinionPro-Regular"/>
          <w:b w:val="0"/>
          <w:bCs w:val="0"/>
          <w:color w:val="000000" w:themeColor="text1"/>
          <w:sz w:val="22"/>
          <w:szCs w:val="22"/>
        </w:rPr>
        <w:t xml:space="preserve"> (</w:t>
      </w:r>
      <w:proofErr w:type="spellStart"/>
      <w:r w:rsidRPr="005D14E2">
        <w:rPr>
          <w:rFonts w:cs="MinionPro-Regular"/>
          <w:b w:val="0"/>
          <w:bCs w:val="0"/>
          <w:color w:val="000000" w:themeColor="text1"/>
          <w:sz w:val="22"/>
          <w:szCs w:val="22"/>
        </w:rPr>
        <w:t>ASchG</w:t>
      </w:r>
      <w:proofErr w:type="spellEnd"/>
      <w:r w:rsidRPr="005D14E2">
        <w:rPr>
          <w:rFonts w:cs="MinionPro-Regular"/>
          <w:b w:val="0"/>
          <w:bCs w:val="0"/>
          <w:color w:val="000000" w:themeColor="text1"/>
          <w:sz w:val="22"/>
          <w:szCs w:val="22"/>
        </w:rPr>
        <w:t xml:space="preserve">), insbesondere hinsichtlich der Dimension Arbeitszeit; die effektivere Kontrolle von Arbeitszeitgrenzen durch die Organe der Arbeitsinspektion sowie höhere Strafbestimmungen nach dem </w:t>
      </w:r>
      <w:proofErr w:type="spellStart"/>
      <w:r w:rsidRPr="005D14E2">
        <w:rPr>
          <w:rFonts w:cs="MinionPro-Regular"/>
          <w:b w:val="0"/>
          <w:bCs w:val="0"/>
          <w:color w:val="000000" w:themeColor="text1"/>
          <w:sz w:val="22"/>
          <w:szCs w:val="22"/>
        </w:rPr>
        <w:t>ASchG</w:t>
      </w:r>
      <w:proofErr w:type="spellEnd"/>
      <w:r w:rsidRPr="005D14E2">
        <w:rPr>
          <w:rFonts w:cs="MinionPro-Regular"/>
          <w:b w:val="0"/>
          <w:bCs w:val="0"/>
          <w:color w:val="000000" w:themeColor="text1"/>
          <w:sz w:val="22"/>
          <w:szCs w:val="22"/>
        </w:rPr>
        <w:t xml:space="preserve"> und dem Arbeitszeitgesetz (AZG);  die Verteuerung von Überstunden). Für Beschäftigte im Sozial- und Gesundheitswesen braucht es allerdings eine weitergehende Lösung, da diese Branche durch niedrige Löhne und die besonders hohe Gefahr der Arbeitsverdichtung vor speziellen Herausforderungen steht. Bei etwa 120.000 betroffenen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erfolgt die Verkürzung der Normalarbeitszeit (um 8%) von derzeit 38 Stunden pro Woche in 2 Schritten auf 35 Stunden pro Woche. Die Verkürzung darf nicht dazu führen, dass die Beschäftigten in kürzerer Zeit mehr arbeiten müssen, sondern muss durch neue Beschäftigte ausgeglichen werden. Für den Gesundheits-, Betreuungs- und Pflegebereich muss parallel zur Arbeitszeitverkürzung ein gesetzlich geregelter Betreuungsschlüssel festgelegt werden. Für andere Dienstleistungsbereiche braucht es andere Mechanismen. Die Kosten eines vollen Lohnausgleiches inklusive der Neueinstellung von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(sodass dieselbe Betreuungsleistung erbracht werden kann) betragen rund 244 Mio. Euro. Die Mehrkosten für zusätzliche Beschäftige müssen den Organisationen, die Sozialleistungen erbringen, aus Bundesmitteln ersetzt werden.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Die Beschäftigungswirkung der Arbeitszeitverkürzung ist sehr hoch. Mit den vorgeschlagenen Maßnahmen könnten mindestens 50.000 neue Arbeitsplätze geschaffen werden. Diese Schätzung beruht auf Berechnungen des WIFO von 2001. </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Reduktion der Überstunden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Die Beschäftigungseffekte einer gerechteren Verteilung von Arbeit werden umso größer, wenn man hier noch die rund 60.000 Arbeitsplätze, die durch die Einschränkung der Überstunden (siehe dazu die Forderung nach der Einführung eines Überstunden-Euros im Kapitel „Arbeit entlasten! - Spitzeneinkommen gerecht beteiligen “ auf Seite 80) entstehen würden, dazu rechnet. Durch beide Maßnahmen können mehr als 100.000 Arbeitsplätze geschaffen werden.</w:t>
      </w:r>
    </w:p>
    <w:p w:rsidR="005A1F43"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Abgesehen vom Überstunden-Euro sind weitere Maßnahmen notwendig, um die Reduzierung von Überstunden sicherzustellen. Um einen besseren Überblick über die geleisteten Überstunden zu erhalten, sollen Unternehmen die Arbeitszeiten ihrer </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verpflichtend dem Hauptverband der Sozialversicherungsträger melden (über die monatliche Beitragsgrundlagenmeldung). Unternehmen, die Überstunden reduzieren und neue Personen einstellen, sollen Förderungen wie z. B. Steuerfreibeträge erhalten.</w:t>
      </w:r>
    </w:p>
    <w:p w:rsid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Flietext"/>
        <w:rPr>
          <w:rFonts w:cs="Verdana"/>
          <w:b/>
          <w:bCs/>
          <w:sz w:val="28"/>
          <w:szCs w:val="28"/>
        </w:rPr>
      </w:pPr>
      <w:r w:rsidRPr="005D14E2">
        <w:rPr>
          <w:rFonts w:cs="Verdana"/>
          <w:b/>
          <w:bCs/>
          <w:sz w:val="28"/>
          <w:szCs w:val="28"/>
        </w:rPr>
        <w:t xml:space="preserve">Reform der Arbeitsmarktpolitik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Gegenwärtig sind mehr als 900.000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mindestens einmal pro Jahr arbeitslos. Das zeigt die enorme Bedeutung der Arbeitslosenversicherung – sie garantiert die Existenzsicherung für Menschen, die </w:t>
      </w:r>
      <w:r w:rsidRPr="005D14E2">
        <w:rPr>
          <w:rFonts w:cs="MinionPro-Regular"/>
          <w:b w:val="0"/>
          <w:bCs w:val="0"/>
          <w:color w:val="000000" w:themeColor="text1"/>
          <w:sz w:val="22"/>
          <w:szCs w:val="22"/>
        </w:rPr>
        <w:lastRenderedPageBreak/>
        <w:t xml:space="preserve">ihren Arbeitsplatz verloren haben und einen neuen suchen müssen (siehe Vorschläge zur Anhebung des Arbeitslosengeldes auf Seite 39). Die steigende Zahl an Arbeitslosen und die vielen Novellierungen des Arbeitslosenversicherungsrechts der letzten Jahre führen dazu, dass die aktuelle Arbeitsmarktpolitik für das Ziel der Arbeitsuchenden - nämlich eine neue Arbeit zu finden -  oft nicht mehr funktional ist. Die derzeitige Arbeitsmarktpolitik, die Art und Weise wie arbeitslos Gemeldete betreut werden und die Rahmenbedingungen der </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des Arbeitsmarktservice (AMS) müssen verändert werden, um arbeitsuchende Menschen erfolgreich zurück in die Beschäftigung begleiten zu können. Jegliche Reform der aktiven Arbeitsmarktpolitik setzt jedoch voraus, dass qualitative und gut bezahlte neue Arbeitsplätze geschaffen werden (siehe die in diesem Budget vorgeschlagenen Maßnahmen). Nur dann haben Arbeitsuchende eine Chance würdige Arbeit zu finden. Die Schwierigkeit der Arbeitsvermittlung durch das AMS zeigt sich alleine schon daran, dass viele der beim AMS gemeldeten offenen Stellen prekäre Jobs sind (Teilzeit, Leiharbeit, schlechte Bezahlung, keine dauerhaften Stellen etc.). Vor dem Hintergrund dieser Rahmenbedingungen braucht es aus unserer Sicht folgende Reformen für die aktive Arbeitsmarktpolitik: </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Ressourcen des AMS stärken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Die bessere Betreuung Arbeitsuchender durch die </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des AMS ist nur dann möglich, wenn dafür auch die entsprechenden personellen Rahmenbedingungen geschaffen werden. Derzeit betreut ein/e AMS-Mitarbeiter/in rund 190 Personen. Die durchschnittliche Beratungszeit pro Person, die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zur Verfügung steht, beträgt 7,5 Minuten. Damit ist eine angemessene Betreuung von Arbeitsuchenden, die über die reine Verwaltung der Arbeitslosenversicherung hinausgeht, kaum möglich. Für ein Erstgespräch sollen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mindestens 30 Minuten Zeit haben, um flexibel auf die individuelle Situation von Arbeit suchenden Menschen eingehen zu können. Vor dem Hintergrund steigender Arbeitslosenzahlen und dem Fokus auf qualitative Verbesserungen braucht das AMS mehr personelle Ressourcen. 150 zusätzliche AMS-Mitarbeit-</w:t>
      </w:r>
    </w:p>
    <w:p w:rsidR="005D14E2" w:rsidRPr="005D14E2" w:rsidRDefault="005D14E2" w:rsidP="005D14E2">
      <w:pPr>
        <w:pStyle w:val="ZGBManahme"/>
        <w:rPr>
          <w:rFonts w:cs="MinionPro-Regular"/>
          <w:b w:val="0"/>
          <w:bCs w:val="0"/>
          <w:color w:val="000000" w:themeColor="text1"/>
          <w:sz w:val="22"/>
          <w:szCs w:val="22"/>
        </w:rPr>
      </w:pPr>
      <w:proofErr w:type="spellStart"/>
      <w:r w:rsidRPr="005D14E2">
        <w:rPr>
          <w:rFonts w:cs="MinionPro-Regular"/>
          <w:b w:val="0"/>
          <w:bCs w:val="0"/>
          <w:color w:val="000000" w:themeColor="text1"/>
          <w:sz w:val="22"/>
          <w:szCs w:val="22"/>
        </w:rPr>
        <w:t>erInnen</w:t>
      </w:r>
      <w:proofErr w:type="spellEnd"/>
      <w:r w:rsidRPr="005D14E2">
        <w:rPr>
          <w:rFonts w:cs="MinionPro-Regular"/>
          <w:b w:val="0"/>
          <w:bCs w:val="0"/>
          <w:color w:val="000000" w:themeColor="text1"/>
          <w:sz w:val="22"/>
          <w:szCs w:val="22"/>
        </w:rPr>
        <w:t xml:space="preserve"> würden rund 12 Mio. Euro kosten. Viele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leisten angesichts der Rahmenbedingungen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qualitativ gute Arbeit. Dennoch gibt es immer wieder – vor allem im städtischen Bereich – Qualitätsmängel in der Beratung. Dafür braucht es entsprechende Schulungen für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ebenso wie ein Coaching-Angebot und die laufende Einbeziehung von </w:t>
      </w:r>
      <w:proofErr w:type="spellStart"/>
      <w:r w:rsidRPr="005D14E2">
        <w:rPr>
          <w:rFonts w:cs="MinionPro-Regular"/>
          <w:b w:val="0"/>
          <w:bCs w:val="0"/>
          <w:color w:val="000000" w:themeColor="text1"/>
          <w:sz w:val="22"/>
          <w:szCs w:val="22"/>
        </w:rPr>
        <w:t>KlientInnen</w:t>
      </w:r>
      <w:proofErr w:type="spellEnd"/>
      <w:r w:rsidRPr="005D14E2">
        <w:rPr>
          <w:rFonts w:cs="MinionPro-Regular"/>
          <w:b w:val="0"/>
          <w:bCs w:val="0"/>
          <w:color w:val="000000" w:themeColor="text1"/>
          <w:sz w:val="22"/>
          <w:szCs w:val="22"/>
        </w:rPr>
        <w:t xml:space="preserve"> (u.a. Fokusgruppen, </w:t>
      </w:r>
      <w:proofErr w:type="spellStart"/>
      <w:r w:rsidRPr="005D14E2">
        <w:rPr>
          <w:rFonts w:cs="MinionPro-Regular"/>
          <w:b w:val="0"/>
          <w:bCs w:val="0"/>
          <w:color w:val="000000" w:themeColor="text1"/>
          <w:sz w:val="22"/>
          <w:szCs w:val="22"/>
        </w:rPr>
        <w:t>KlientInnenbeiräte</w:t>
      </w:r>
      <w:proofErr w:type="spellEnd"/>
      <w:r w:rsidRPr="005D14E2">
        <w:rPr>
          <w:rFonts w:cs="MinionPro-Regular"/>
          <w:b w:val="0"/>
          <w:bCs w:val="0"/>
          <w:color w:val="000000" w:themeColor="text1"/>
          <w:sz w:val="22"/>
          <w:szCs w:val="22"/>
        </w:rPr>
        <w:t xml:space="preserve"> etc.).</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 xml:space="preserve">Qualitativ bessere Betreuung </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Parallel zur Aufstockung von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braucht es eine Verbesserung in der Qualität der Betreuung, u.a. ausführliche Erstgespräche und Angebote von Case Management. Dabei werden Arbeitsuchende mit ihren individuellen Problemlagen, Bedürfnissen und Ressourcen in den Mittelpunkt gestellt. Die AMS-</w:t>
      </w:r>
      <w:proofErr w:type="spellStart"/>
      <w:r w:rsidRPr="005D14E2">
        <w:rPr>
          <w:rFonts w:cs="MinionPro-Regular"/>
          <w:b w:val="0"/>
          <w:bCs w:val="0"/>
          <w:color w:val="000000" w:themeColor="text1"/>
          <w:sz w:val="22"/>
          <w:szCs w:val="22"/>
        </w:rPr>
        <w:t>MitarbeiterInnen</w:t>
      </w:r>
      <w:proofErr w:type="spellEnd"/>
      <w:r w:rsidRPr="005D14E2">
        <w:rPr>
          <w:rFonts w:cs="MinionPro-Regular"/>
          <w:b w:val="0"/>
          <w:bCs w:val="0"/>
          <w:color w:val="000000" w:themeColor="text1"/>
          <w:sz w:val="22"/>
          <w:szCs w:val="22"/>
        </w:rPr>
        <w:t xml:space="preserve"> erarbeiten gemeinsam mit den Arbeitsuchenden einen individuellen Plan für den Weg zurück in den Arbeitsmarkt. Die Betroffenen entscheiden über ihren Qualifizierungs- und Umschulungsplan mit bzw. darüber welche Art der Unterstützung sie brauchen. Sie haben auch das Recht, Kursvorschläge des AMS (z. B. wenn diese nicht ihr Recht auf Berufs-/Qualifikationsschutz berücksichtigen) ohne Verlust des Rechtsanspruches auf Arbeitslosengeld ablehnen zu können. Damit kann sichergestellt werden, dass </w:t>
      </w:r>
      <w:proofErr w:type="spellStart"/>
      <w:r w:rsidRPr="005D14E2">
        <w:rPr>
          <w:rFonts w:cs="MinionPro-Regular"/>
          <w:b w:val="0"/>
          <w:bCs w:val="0"/>
          <w:color w:val="000000" w:themeColor="text1"/>
          <w:sz w:val="22"/>
          <w:szCs w:val="22"/>
        </w:rPr>
        <w:t>Dequalifizierungen</w:t>
      </w:r>
      <w:proofErr w:type="spellEnd"/>
      <w:r w:rsidRPr="005D14E2">
        <w:rPr>
          <w:rFonts w:cs="MinionPro-Regular"/>
          <w:b w:val="0"/>
          <w:bCs w:val="0"/>
          <w:color w:val="000000" w:themeColor="text1"/>
          <w:sz w:val="22"/>
          <w:szCs w:val="22"/>
        </w:rPr>
        <w:t xml:space="preserve"> und Einkommenseinbußen vermieden und die Erwartungen der Arbeitsuchenden besser berücksichtigt werden. </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Faire Bezugsbedingungen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Das Arbeitslosengeld stellt einen Rechtsanspruch dar, dem zugleich auch Pflichten gegenüberstehen. Sofern diese nicht eingehalten werden, kann der Bezug des Arbeitslosengeldes gesperrt werden. Die Zumutbarkeits- und Verfügbarkeitsbestimmungen sowie Sanktionsmöglichkeiten wurden in den letzten Jahren zunehmend verschärft. Diese gilt es zu reformieren. Die Möglichkeit das Arbeitslosengeld aufgrund einer „vereitelten Bewerbung“ zu streichen, sollte zur Gänze abgeschafft werden, da eine solche Vereitelung schwer nachweisbar ist und auch nicht klar definiert ist, wann eine Bewerbung als vereitelt gilt. Die </w:t>
      </w:r>
      <w:proofErr w:type="spellStart"/>
      <w:r w:rsidRPr="005D14E2">
        <w:rPr>
          <w:rFonts w:cs="MinionPro-Regular"/>
          <w:b w:val="0"/>
          <w:bCs w:val="0"/>
          <w:color w:val="000000" w:themeColor="text1"/>
          <w:sz w:val="22"/>
          <w:szCs w:val="22"/>
        </w:rPr>
        <w:t>Zuverdienstregelung</w:t>
      </w:r>
      <w:proofErr w:type="spellEnd"/>
      <w:r w:rsidRPr="005D14E2">
        <w:rPr>
          <w:rFonts w:cs="MinionPro-Regular"/>
          <w:b w:val="0"/>
          <w:bCs w:val="0"/>
          <w:color w:val="000000" w:themeColor="text1"/>
          <w:sz w:val="22"/>
          <w:szCs w:val="22"/>
        </w:rPr>
        <w:t xml:space="preserve"> sollte flexibel gestaltet werden, so dass der Leistungsbezug bei kurzfristigem Überschreiten der Geringfügigkeitsgrenze nur zum Teil gekürzt wird und nicht gänzlich entfällt.  Darüber hinaus soll </w:t>
      </w:r>
      <w:proofErr w:type="spellStart"/>
      <w:r w:rsidRPr="005D14E2">
        <w:rPr>
          <w:rFonts w:cs="MinionPro-Regular"/>
          <w:b w:val="0"/>
          <w:bCs w:val="0"/>
          <w:color w:val="000000" w:themeColor="text1"/>
          <w:sz w:val="22"/>
          <w:szCs w:val="22"/>
        </w:rPr>
        <w:t>BezieherInnen</w:t>
      </w:r>
      <w:proofErr w:type="spellEnd"/>
      <w:r w:rsidRPr="005D14E2">
        <w:rPr>
          <w:rFonts w:cs="MinionPro-Regular"/>
          <w:b w:val="0"/>
          <w:bCs w:val="0"/>
          <w:color w:val="000000" w:themeColor="text1"/>
          <w:sz w:val="22"/>
          <w:szCs w:val="22"/>
        </w:rPr>
        <w:t xml:space="preserve"> von Arbeitslosengeld die Möglichkeit von Pflegefreistellung, ein Anspruch auf selbstgewählte Aus- oder Fortbildung wie bei einer Bildungskarenz sowie 5 Wochen „Urlaub“ </w:t>
      </w:r>
      <w:r w:rsidRPr="005D14E2">
        <w:rPr>
          <w:rFonts w:cs="MinionPro-Regular"/>
          <w:b w:val="0"/>
          <w:bCs w:val="0"/>
          <w:color w:val="000000" w:themeColor="text1"/>
          <w:sz w:val="22"/>
          <w:szCs w:val="22"/>
        </w:rPr>
        <w:lastRenderedPageBreak/>
        <w:t>(vermittlungsfreie Zeit) pro Jahr zugestanden werden. Insgesamt muss sichergestellt werden, dass eine Sperre des Leistungsbezuges erst nach Eintreten der Rechtskraft vollzogen wird.</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Mehr Mittel für qualitätsvolle, aktive arbeitsmarktpolitische Maßnahmen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Neben einer guten Betreuung während der Arbeitsuche und einem existenzsichernden Einkommen sind qualitätsvolle Maßnahmen der aktiven Arbeitsmarktpolitik bedarfsgerecht auszubauen. Vor allem sind vermehrt modulare Bildungsangebote anzubieten, damit die Menschen möglichst dort abgeholt werden können, wo sie stehen. Wichtig ist dabei auch  eine möglichst einheitliche Erhebung und Sichtbarmachung von Kompetenzen in arbeitsmarktpolitischen Angeboten. Ausbildungen sollten auch periodenübergreifend absolviert werden können, damit sowohl in Phasen der Arbeitslosigkeit als auch in Zeiten von Beschäftigung Ausbildungen in Anspruch genommen werden können. Zudem muss das Fachkräftestipendium weiter ausgebaut werden und eine (bessere) Förderung der Ausbildungskosten ermöglicht werden. In einem ersten Schritt sollten die vorhandenen Mittel in diese Richtung umgeschichtet werden.</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 xml:space="preserve">Maßnahmen zur Stabilisierung der Beschäftigung von älteren </w:t>
      </w:r>
      <w:proofErr w:type="spellStart"/>
      <w:r w:rsidRPr="005D14E2">
        <w:rPr>
          <w:rFonts w:cs="MinionPro-Regular"/>
          <w:bCs w:val="0"/>
          <w:color w:val="000000" w:themeColor="text1"/>
          <w:sz w:val="22"/>
          <w:szCs w:val="22"/>
          <w:u w:val="single"/>
        </w:rPr>
        <w:t>ArbeitnehmerInnen</w:t>
      </w:r>
      <w:proofErr w:type="spellEnd"/>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18% der Bevölkerung im erwerbsfähigen Alter sind über 55 Jahre alt. Im Vergleich dazu beschäftigen 40% der österreichischen Betriebe, die mindestens 20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haben, sehr wenige bis gar keine Personen aus dieser Altersgruppe (unter 5%). Die Arbeitslosenrate älterer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wächst dramatisch. Spürbare </w:t>
      </w:r>
      <w:proofErr w:type="spellStart"/>
      <w:r w:rsidRPr="005D14E2">
        <w:rPr>
          <w:rFonts w:cs="MinionPro-Regular"/>
          <w:b w:val="0"/>
          <w:bCs w:val="0"/>
          <w:color w:val="000000" w:themeColor="text1"/>
          <w:sz w:val="22"/>
          <w:szCs w:val="22"/>
        </w:rPr>
        <w:t>Maluszahlungen</w:t>
      </w:r>
      <w:proofErr w:type="spellEnd"/>
      <w:r w:rsidRPr="005D14E2">
        <w:rPr>
          <w:rFonts w:cs="MinionPro-Regular"/>
          <w:b w:val="0"/>
          <w:bCs w:val="0"/>
          <w:color w:val="000000" w:themeColor="text1"/>
          <w:sz w:val="22"/>
          <w:szCs w:val="22"/>
        </w:rPr>
        <w:t xml:space="preserve"> sollen Unternehmen mit mehr als 25 </w:t>
      </w:r>
      <w:proofErr w:type="spellStart"/>
      <w:r w:rsidRPr="005D14E2">
        <w:rPr>
          <w:rFonts w:cs="MinionPro-Regular"/>
          <w:b w:val="0"/>
          <w:bCs w:val="0"/>
          <w:color w:val="000000" w:themeColor="text1"/>
          <w:sz w:val="22"/>
          <w:szCs w:val="22"/>
        </w:rPr>
        <w:t>ArbeitnehmerInnen</w:t>
      </w:r>
      <w:proofErr w:type="spellEnd"/>
      <w:r w:rsidRPr="005D14E2">
        <w:rPr>
          <w:rFonts w:cs="MinionPro-Regular"/>
          <w:b w:val="0"/>
          <w:bCs w:val="0"/>
          <w:color w:val="000000" w:themeColor="text1"/>
          <w:sz w:val="22"/>
          <w:szCs w:val="22"/>
        </w:rPr>
        <w:t xml:space="preserve"> dazu bringen, einen Mindestanteil an älteren Beschäftigten anzustellen.</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Maßnahmen für Menschen mit gesundheitlichen Beeinträchtigungen</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Von den knapp 400.000 arbeitsuchenden Menschen sind laut AMS-Statistik insgesamt ca. 15% aus gesundheitlichen Gründen eingeschränkt vermittelbar, bei den über 45-Jährigen ist es bereits jede/r Vierte.</w:t>
      </w:r>
    </w:p>
    <w:p w:rsidR="005D14E2" w:rsidRP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Diese Menschen kommen nur schwer am Arbeitsmarkt unter. Das zeigt sich auch an der längeren durchschnittlichen Vormerkdauer in Arbeitslosigkeit: Menschen mit gesundheitlichen Beeinträchtigungen waren im Jahr 2013 durchschnittlich 133 Tage vorgemerkt, Menschen ohne gesundheitliche Beeinträchtigungen hingegen „nur“ 104 Tage. Es müssen mehr längerfristige Beschäftigungsmöglichkeiten für nicht (mehr) voll arbeitsfähige Menschen geschaffen werden. Auf dem Weg zurück in den Arbeitsmarkt brauchen die Betroffenen ferner ein existenzsicherndes Einkommen.</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 xml:space="preserve">Ausschließlich freiwillige Zuweisung zu arbeitsmarktintegrativen sozialen Unternehmen </w:t>
      </w:r>
    </w:p>
    <w:p w:rsidR="005D14E2" w:rsidRDefault="005D14E2" w:rsidP="005D14E2">
      <w:pPr>
        <w:pStyle w:val="ZGBManahme"/>
        <w:rPr>
          <w:rFonts w:cs="MinionPro-Regular"/>
          <w:b w:val="0"/>
          <w:bCs w:val="0"/>
          <w:color w:val="000000" w:themeColor="text1"/>
          <w:sz w:val="22"/>
          <w:szCs w:val="22"/>
        </w:rPr>
      </w:pPr>
      <w:r w:rsidRPr="005D14E2">
        <w:rPr>
          <w:rFonts w:cs="MinionPro-Regular"/>
          <w:b w:val="0"/>
          <w:bCs w:val="0"/>
          <w:color w:val="000000" w:themeColor="text1"/>
          <w:sz w:val="22"/>
          <w:szCs w:val="22"/>
        </w:rPr>
        <w:t xml:space="preserve">Zeitlich befristete Transitarbeitsplätze in gemeinnützigen sozialen Unternehmen sind für viele arbeitslose Menschen ein Sprungbrett für den Wiedereinstieg in den Arbeitsmarkt – sie bieten arbeitsmarktfernen Menschen einen Entwicklungsrahmen auf Zeit und unterstützen sie bei der Suche nach einem neuen Arbeitsplatz. Derzeit werden jedoch auch Arbeit suchende Menschen zugewiesen, die keinen Sinn in einer Transitbeschäftigung sehen. Aufgrund der Sanktionsmöglichkeiten des AMS (z. B. Sperre des Arbeitslosengeldes) sind sie dennoch gezwungen derartige Arbeitsplätze anzunehmen. In Zukunft muss die Zuweisung zu Transitarbeitsplätzen in sozialökonomischen Betrieben (SÖB), gemeinnützigen Beschäftigungsprojekten (GBP) und zur gemeinnützigen Arbeitskräfteüberlassung auf der Basis von Freiwilligkeit erfolgen. Nur so können die individuellen Bedürfnisse, Wünsche und Fähigkeiten von Arbeit suchenden Menschen ausreichend berücksichtigt werden und die sozialen Unternehmen ihre volle Wirksamkeit entfalten. </w:t>
      </w:r>
    </w:p>
    <w:p w:rsidR="005D14E2" w:rsidRPr="005D14E2" w:rsidRDefault="005D14E2" w:rsidP="005D14E2">
      <w:pPr>
        <w:pStyle w:val="ZGBManahme"/>
        <w:rPr>
          <w:rFonts w:cs="MinionPro-Regular"/>
          <w:b w:val="0"/>
          <w:bCs w:val="0"/>
          <w:color w:val="000000" w:themeColor="text1"/>
          <w:sz w:val="22"/>
          <w:szCs w:val="22"/>
        </w:rPr>
      </w:pPr>
    </w:p>
    <w:p w:rsidR="005D14E2" w:rsidRPr="005D14E2" w:rsidRDefault="005D14E2" w:rsidP="005D14E2">
      <w:pPr>
        <w:pStyle w:val="ZGBManahme"/>
        <w:rPr>
          <w:rFonts w:cs="MinionPro-Regular"/>
          <w:bCs w:val="0"/>
          <w:color w:val="000000" w:themeColor="text1"/>
          <w:sz w:val="22"/>
          <w:szCs w:val="22"/>
          <w:u w:val="single"/>
        </w:rPr>
      </w:pPr>
      <w:r w:rsidRPr="005D14E2">
        <w:rPr>
          <w:rFonts w:cs="MinionPro-Regular"/>
          <w:bCs w:val="0"/>
          <w:color w:val="000000" w:themeColor="text1"/>
          <w:sz w:val="22"/>
          <w:szCs w:val="22"/>
          <w:u w:val="single"/>
        </w:rPr>
        <w:t>Ausbau von geförderter Beschäftigung in gemeinnützigen sozialen Unternehmen</w:t>
      </w:r>
    </w:p>
    <w:p w:rsidR="005D14E2" w:rsidRDefault="005D14E2" w:rsidP="005D14E2">
      <w:pPr>
        <w:pStyle w:val="ZGBManahme"/>
      </w:pPr>
      <w:r w:rsidRPr="005D14E2">
        <w:rPr>
          <w:rFonts w:cs="MinionPro-Regular"/>
          <w:b w:val="0"/>
          <w:bCs w:val="0"/>
          <w:color w:val="000000" w:themeColor="text1"/>
          <w:sz w:val="22"/>
          <w:szCs w:val="22"/>
        </w:rPr>
        <w:t xml:space="preserve">Je länger Arbeitslosigkeit dauert, desto schwerwiegendere Folgen hat sie für die betroffenen Menschen. Langzeitarbeitslosigkeit führt nicht nur zu einem hohen Armutsrisiko, sondern ist oft auch der Grund für psychische, gesundheitliche und / oder familiäre Probleme. Zudem führt sie oftmals zu gesellschaftlicher sowie sozialer Ausgrenzung. Langfristig ist auch die Entwertung der bestehenden Qualifikationen und Berufserfahrungen der betroffenen Menschen ein großes Problem für ihren Wiedereinstieg in den Arbeitsmarkt. Dennoch waren im Juni 2014 mehr als 116.000 Personen langzeitarbeitslos. Um zumindest für einen Bruchteil dieser Menschen geeignete Arbeitsplätze anbieten zu können, müssen 2015 </w:t>
      </w:r>
      <w:proofErr w:type="spellStart"/>
      <w:r w:rsidRPr="005D14E2">
        <w:rPr>
          <w:rFonts w:cs="MinionPro-Regular"/>
          <w:b w:val="0"/>
          <w:bCs w:val="0"/>
          <w:color w:val="000000" w:themeColor="text1"/>
          <w:sz w:val="22"/>
          <w:szCs w:val="22"/>
        </w:rPr>
        <w:t>zumindes</w:t>
      </w:r>
      <w:proofErr w:type="spellEnd"/>
      <w:r w:rsidRPr="005D14E2">
        <w:rPr>
          <w:rFonts w:cs="MinionPro-Regular"/>
          <w:b w:val="0"/>
          <w:bCs w:val="0"/>
          <w:color w:val="000000" w:themeColor="text1"/>
          <w:sz w:val="22"/>
          <w:szCs w:val="22"/>
        </w:rPr>
        <w:t xml:space="preserve"> t 135 Mio. Euro an zusätzlichen Mitteln für arbeitsmarktintegrative soziale Unternehmen zur Verfügung gestellt werden. Nach Berechnungen des Bundesdachverbandes für soziale Unternehmen (</w:t>
      </w:r>
      <w:proofErr w:type="spellStart"/>
      <w:r w:rsidRPr="005D14E2">
        <w:rPr>
          <w:rFonts w:cs="MinionPro-Regular"/>
          <w:b w:val="0"/>
          <w:bCs w:val="0"/>
          <w:color w:val="000000" w:themeColor="text1"/>
          <w:sz w:val="22"/>
          <w:szCs w:val="22"/>
        </w:rPr>
        <w:t>bdv</w:t>
      </w:r>
      <w:proofErr w:type="spellEnd"/>
      <w:r w:rsidRPr="005D14E2">
        <w:rPr>
          <w:rFonts w:cs="MinionPro-Regular"/>
          <w:b w:val="0"/>
          <w:bCs w:val="0"/>
          <w:color w:val="000000" w:themeColor="text1"/>
          <w:sz w:val="22"/>
          <w:szCs w:val="22"/>
        </w:rPr>
        <w:t xml:space="preserve"> </w:t>
      </w:r>
      <w:proofErr w:type="spellStart"/>
      <w:r w:rsidRPr="005D14E2">
        <w:rPr>
          <w:rFonts w:cs="MinionPro-Regular"/>
          <w:b w:val="0"/>
          <w:bCs w:val="0"/>
          <w:color w:val="000000" w:themeColor="text1"/>
          <w:sz w:val="22"/>
          <w:szCs w:val="22"/>
        </w:rPr>
        <w:t>austria</w:t>
      </w:r>
      <w:proofErr w:type="spellEnd"/>
      <w:r w:rsidRPr="005D14E2">
        <w:rPr>
          <w:rFonts w:cs="MinionPro-Regular"/>
          <w:b w:val="0"/>
          <w:bCs w:val="0"/>
          <w:color w:val="000000" w:themeColor="text1"/>
          <w:sz w:val="22"/>
          <w:szCs w:val="22"/>
        </w:rPr>
        <w:t xml:space="preserve">) auf Basis realer existierender sozialer Unternehmen könnten damit 5.000 zusätzliche Arbeitsplätze für </w:t>
      </w:r>
      <w:r w:rsidRPr="005D14E2">
        <w:rPr>
          <w:rFonts w:cs="MinionPro-Regular"/>
          <w:b w:val="0"/>
          <w:bCs w:val="0"/>
          <w:color w:val="000000" w:themeColor="text1"/>
          <w:sz w:val="22"/>
          <w:szCs w:val="22"/>
        </w:rPr>
        <w:lastRenderedPageBreak/>
        <w:t xml:space="preserve">arbeitsmarktferne Personen und weitere 1.000 Arbeitsplätze für sogenannte Schlüsselarbeitskräfte geschaffen werden. Ein großer Teil dieser Mittel würde indirekt wieder an die öffentliche Hand zurückfließen – beispielsweise aufgrund von Einsparungen beim Arbeitslosengeld bzw. höheren Einnahmen bei Einkommensteuern und Sozialversicherungsbeiträgen. Zahlreiche </w:t>
      </w:r>
      <w:proofErr w:type="spellStart"/>
      <w:r w:rsidRPr="005D14E2">
        <w:rPr>
          <w:rFonts w:cs="MinionPro-Regular"/>
          <w:b w:val="0"/>
          <w:bCs w:val="0"/>
          <w:color w:val="000000" w:themeColor="text1"/>
          <w:sz w:val="22"/>
          <w:szCs w:val="22"/>
        </w:rPr>
        <w:t>ExpertInnen</w:t>
      </w:r>
      <w:proofErr w:type="spellEnd"/>
      <w:r w:rsidRPr="005D14E2">
        <w:rPr>
          <w:rFonts w:cs="MinionPro-Regular"/>
          <w:b w:val="0"/>
          <w:bCs w:val="0"/>
          <w:color w:val="000000" w:themeColor="text1"/>
          <w:sz w:val="22"/>
          <w:szCs w:val="22"/>
        </w:rPr>
        <w:t xml:space="preserve"> aus dem Sektor sprechen sich vor allem für den Ausbau von längerfristigen und dauerhaft geförderten Arbeitsplätzen aus: einerseits für jene Menschen, für die z. B. aufgrund gesundheitlicher Probleme oder ihres Alters eine Stelle am ersten Arbeitsmarkt nicht mehr realistisch scheint, andererseits für Personen, die nur langsam und schrittweise wieder an eine  nicht geförderte Beschäftigung herangeführt werden können.</w:t>
      </w:r>
    </w:p>
    <w:p w:rsidR="005A1F43" w:rsidRDefault="005A1F43" w:rsidP="005A1F43">
      <w:pPr>
        <w:pStyle w:val="ZGBManahme"/>
      </w:pPr>
    </w:p>
    <w:p w:rsidR="005A1F43" w:rsidRDefault="005A1F43" w:rsidP="009A6654">
      <w:pPr>
        <w:pStyle w:val="berschrift2"/>
      </w:pPr>
      <w:bookmarkStart w:id="16" w:name="_Toc406072759"/>
      <w:r>
        <w:t>Freie Bildung für alle!</w:t>
      </w:r>
      <w:bookmarkEnd w:id="16"/>
    </w:p>
    <w:p w:rsidR="005A1F43" w:rsidRDefault="005A1F43" w:rsidP="009A6654">
      <w:pPr>
        <w:pStyle w:val="berschrift2"/>
      </w:pPr>
    </w:p>
    <w:p w:rsidR="007E2D8B" w:rsidRPr="007E2D8B" w:rsidRDefault="007E2D8B" w:rsidP="007E2D8B">
      <w:pPr>
        <w:pStyle w:val="ZGBEinleitung"/>
        <w:rPr>
          <w:bCs/>
          <w:iCs/>
        </w:rPr>
      </w:pPr>
      <w:r w:rsidRPr="007E2D8B">
        <w:rPr>
          <w:bCs/>
          <w:iCs/>
        </w:rPr>
        <w:t>Kindern und jungen Menschen eine qualitative Bildung und Ausbildung zu ermöglichen ist einer der zentralen Eckpfeiler für eine zukunftsfähige Gesellschaft und ein Grundrecht für alle. Um allen Kindern und Jugendlichen, die in Österreich vorschulische Betreuungseinrichtungen oder die Schule besuchen, eine gute Bildung zu ermöglichen und allen Studierenden die Möglichkeit eines qualitativen Studiums zu garantieren, braucht es mehr Bildungsinvestitionen. Die Aufstockung der finanziellen Mittel für Schulen und Universitäten mit dem Budget 2013 sind erfreulich. Allerdings braucht es weit mehr Zukunftsinvestitionen in diesem Bereich.</w:t>
      </w:r>
    </w:p>
    <w:p w:rsidR="00335CDE" w:rsidRDefault="00335CDE" w:rsidP="00335CDE">
      <w:pPr>
        <w:pStyle w:val="ZGBEinleitung"/>
      </w:pPr>
    </w:p>
    <w:p w:rsidR="00335CDE" w:rsidRDefault="00335CDE" w:rsidP="00335CDE">
      <w:pPr>
        <w:pStyle w:val="ZGBManahme"/>
      </w:pPr>
      <w:r w:rsidRPr="00335CDE">
        <w:t>Ausbau von Kinderkrippen, Kindergärten und Vorschulen</w:t>
      </w:r>
    </w:p>
    <w:p w:rsidR="007E2D8B" w:rsidRPr="007E2D8B" w:rsidRDefault="007E2D8B" w:rsidP="007E2D8B">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Wie bereits im Kapitel „Unsere Erfolge“ festgehalten, wird der Bund den Ländern in den kommenden vier Jahren 305 Mio. Euro als Anschubfinanzierung zum Ausbau der Kinderbetreuung zur Verfügung stellen. Die Bundesländer erhöhen im Zuge der </w:t>
      </w:r>
      <w:proofErr w:type="spellStart"/>
      <w:r w:rsidRPr="007E2D8B">
        <w:rPr>
          <w:rFonts w:cs="MinionPro-Regular"/>
          <w:b w:val="0"/>
          <w:bCs w:val="0"/>
          <w:color w:val="000000" w:themeColor="text1"/>
          <w:sz w:val="22"/>
          <w:szCs w:val="22"/>
        </w:rPr>
        <w:t>Kofinanzierung</w:t>
      </w:r>
      <w:proofErr w:type="spellEnd"/>
      <w:r w:rsidRPr="007E2D8B">
        <w:rPr>
          <w:rFonts w:cs="MinionPro-Regular"/>
          <w:b w:val="0"/>
          <w:bCs w:val="0"/>
          <w:color w:val="000000" w:themeColor="text1"/>
          <w:sz w:val="22"/>
          <w:szCs w:val="22"/>
        </w:rPr>
        <w:t xml:space="preserve"> diese Summe um weitere rund 135 Mio. Euro.  Damit sollen vor allem Betreuungsplätze für die Unter-Dreijährigen ausgebaut werden. Die Anschubfinanzierung entspricht im Hinblick auf den Beitrag des Bundes weitestgehend unserem Vorschlag von 350 Mio. Euro. Allerdings ist aus unserer Sicht ein Beitrag der Länder in gleicher Höhe notwendig. Damit werden rund 10.000 neue Arbeitsplätze geschaffen.</w:t>
      </w:r>
    </w:p>
    <w:p w:rsidR="00335CDE" w:rsidRDefault="007E2D8B" w:rsidP="007E2D8B">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Neben dem Ausbau der Betreuungsplätze für Kleinkinder unter drei Jahren sind für die bessere Vereinbarkeit von Beruf und Familie vor allem auch längere Öffnungszeiten bei den bestehenden 70.000 Kindergarten-Plätzen wichtig, ebenso wie mehr Betreuungspersonen, damit für jede Kleinkindgruppe halbtags eine zusätzliche pädagogische Fachkraft zur Verfügung steht. Diese Maßnahmen sind ein wichtiger Beitrag zur Chancengleichheit von Kindern unabhängig von ihrem sozialen Hintergrund. Sie fördern auch die Chancengleichheit von Frauen am Arbeitsmarkt. Neben dem Ausbau der Betreuungseinrichtungen braucht es auch eine bessere Ausbildung und Bezahlung des pädagogischen Personals. Eine durchschnittliche Lohnerhöhung für das pädagogische Personal um 10% würde rund 90 Mio. Euro jährlich kosten. Je nach Konjunkturverlauf können durch mehr Kinderbetreuungsangebote mehr als 30.000 Menschen in Beschäftigung kommen. Nach fünf Jahren übersteigen die daraus resultieren Einnahmen in jedem Fall die Kosten (siehe AK-Studie: „Investiver Sozialstaat Wachstum, Beschäftigung und finanzielle Nachhaltigkeit - Volkswirtschaftliche und fiskalische Effekte des Ausbaus der Kinderbetreuung in Österreich“, 2013. </w:t>
      </w:r>
      <w:proofErr w:type="spellStart"/>
      <w:r w:rsidRPr="007E2D8B">
        <w:rPr>
          <w:rFonts w:cs="MinionPro-Regular"/>
          <w:b w:val="0"/>
          <w:bCs w:val="0"/>
          <w:color w:val="000000" w:themeColor="text1"/>
          <w:sz w:val="22"/>
          <w:szCs w:val="22"/>
        </w:rPr>
        <w:t>AutorInnen</w:t>
      </w:r>
      <w:proofErr w:type="spellEnd"/>
      <w:r w:rsidRPr="007E2D8B">
        <w:rPr>
          <w:rFonts w:cs="MinionPro-Regular"/>
          <w:b w:val="0"/>
          <w:bCs w:val="0"/>
          <w:color w:val="000000" w:themeColor="text1"/>
          <w:sz w:val="22"/>
          <w:szCs w:val="22"/>
        </w:rPr>
        <w:t xml:space="preserve">: A. </w:t>
      </w:r>
      <w:proofErr w:type="spellStart"/>
      <w:r w:rsidRPr="007E2D8B">
        <w:rPr>
          <w:rFonts w:cs="MinionPro-Regular"/>
          <w:b w:val="0"/>
          <w:bCs w:val="0"/>
          <w:color w:val="000000" w:themeColor="text1"/>
          <w:sz w:val="22"/>
          <w:szCs w:val="22"/>
        </w:rPr>
        <w:t>Buxbaum</w:t>
      </w:r>
      <w:proofErr w:type="spellEnd"/>
      <w:r w:rsidRPr="007E2D8B">
        <w:rPr>
          <w:rFonts w:cs="MinionPro-Regular"/>
          <w:b w:val="0"/>
          <w:bCs w:val="0"/>
          <w:color w:val="000000" w:themeColor="text1"/>
          <w:sz w:val="22"/>
          <w:szCs w:val="22"/>
        </w:rPr>
        <w:t xml:space="preserve">, S. </w:t>
      </w:r>
      <w:proofErr w:type="spellStart"/>
      <w:r w:rsidRPr="007E2D8B">
        <w:rPr>
          <w:rFonts w:cs="MinionPro-Regular"/>
          <w:b w:val="0"/>
          <w:bCs w:val="0"/>
          <w:color w:val="000000" w:themeColor="text1"/>
          <w:sz w:val="22"/>
          <w:szCs w:val="22"/>
        </w:rPr>
        <w:t>Pirklbauer</w:t>
      </w:r>
      <w:proofErr w:type="spellEnd"/>
      <w:r w:rsidRPr="007E2D8B">
        <w:rPr>
          <w:rFonts w:cs="MinionPro-Regular"/>
          <w:b w:val="0"/>
          <w:bCs w:val="0"/>
          <w:color w:val="000000" w:themeColor="text1"/>
          <w:sz w:val="22"/>
          <w:szCs w:val="22"/>
        </w:rPr>
        <w:t>).</w:t>
      </w:r>
    </w:p>
    <w:p w:rsidR="007E2D8B" w:rsidRPr="00335CDE" w:rsidRDefault="007E2D8B" w:rsidP="007E2D8B">
      <w:pPr>
        <w:pStyle w:val="ZGBManahme"/>
      </w:pPr>
    </w:p>
    <w:p w:rsidR="00335CDE" w:rsidRDefault="00335CDE" w:rsidP="00335CDE">
      <w:pPr>
        <w:pStyle w:val="ZGBManahme"/>
      </w:pPr>
      <w:r w:rsidRPr="00335CDE">
        <w:t>Ausbau von Ganztagsschulen von der Pflichtschule bis zur Matura</w:t>
      </w:r>
    </w:p>
    <w:p w:rsidR="007E2D8B" w:rsidRPr="007E2D8B" w:rsidRDefault="007E2D8B" w:rsidP="007E2D8B">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Im Schulbereich stehen dringend notwendige Maßnahmen an – etwa mehr </w:t>
      </w:r>
      <w:proofErr w:type="spellStart"/>
      <w:r w:rsidRPr="007E2D8B">
        <w:rPr>
          <w:rFonts w:cs="MinionPro-Regular"/>
          <w:b w:val="0"/>
          <w:bCs w:val="0"/>
          <w:color w:val="000000" w:themeColor="text1"/>
          <w:sz w:val="22"/>
          <w:szCs w:val="22"/>
        </w:rPr>
        <w:t>LehrerInnen</w:t>
      </w:r>
      <w:proofErr w:type="spellEnd"/>
      <w:r w:rsidRPr="007E2D8B">
        <w:rPr>
          <w:rFonts w:cs="MinionPro-Regular"/>
          <w:b w:val="0"/>
          <w:bCs w:val="0"/>
          <w:color w:val="000000" w:themeColor="text1"/>
          <w:sz w:val="22"/>
          <w:szCs w:val="22"/>
        </w:rPr>
        <w:t xml:space="preserve"> oder mehr Unterstützung in Schulklassen, in denen viele verschiedene Muttersprachen gesprochen werden. Die Sprachenvielfalt an Österreichs Schulen muss als ein Geschenk und nicht als Problem gesehen werden. Dafür braucht es aber mehr </w:t>
      </w:r>
      <w:proofErr w:type="spellStart"/>
      <w:r w:rsidRPr="007E2D8B">
        <w:rPr>
          <w:rFonts w:cs="MinionPro-Regular"/>
          <w:b w:val="0"/>
          <w:bCs w:val="0"/>
          <w:color w:val="000000" w:themeColor="text1"/>
          <w:sz w:val="22"/>
          <w:szCs w:val="22"/>
        </w:rPr>
        <w:t>LehrerInnen</w:t>
      </w:r>
      <w:proofErr w:type="spellEnd"/>
      <w:r w:rsidRPr="007E2D8B">
        <w:rPr>
          <w:rFonts w:cs="MinionPro-Regular"/>
          <w:b w:val="0"/>
          <w:bCs w:val="0"/>
          <w:color w:val="000000" w:themeColor="text1"/>
          <w:sz w:val="22"/>
          <w:szCs w:val="22"/>
        </w:rPr>
        <w:t xml:space="preserve">, die sicherstellen, dass </w:t>
      </w:r>
      <w:proofErr w:type="spellStart"/>
      <w:r w:rsidRPr="007E2D8B">
        <w:rPr>
          <w:rFonts w:cs="MinionPro-Regular"/>
          <w:b w:val="0"/>
          <w:bCs w:val="0"/>
          <w:color w:val="000000" w:themeColor="text1"/>
          <w:sz w:val="22"/>
          <w:szCs w:val="22"/>
        </w:rPr>
        <w:t>Vielsprachigkeit</w:t>
      </w:r>
      <w:proofErr w:type="spellEnd"/>
      <w:r w:rsidRPr="007E2D8B">
        <w:rPr>
          <w:rFonts w:cs="MinionPro-Regular"/>
          <w:b w:val="0"/>
          <w:bCs w:val="0"/>
          <w:color w:val="000000" w:themeColor="text1"/>
          <w:sz w:val="22"/>
          <w:szCs w:val="22"/>
        </w:rPr>
        <w:t xml:space="preserve"> nicht zum Nachteil wird, weder für jene Kinder, deren Muttersprache Deutsch ist, noch für jene, die eine andere Muttersprache haben. Integration und Vielfalt im umfassenden Sinne – von Kindern und Menschen mit unterschiedlicher sozialer und geographischer Herkunft sowie von Kindern und Menschen mit oder ohne Behinderung – müssen Ziel und Leitbild der Schule und Bildung von morgen sein. </w:t>
      </w:r>
    </w:p>
    <w:p w:rsidR="007E2D8B" w:rsidRPr="007E2D8B" w:rsidRDefault="007E2D8B" w:rsidP="007E2D8B">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Auch der Ausbau der Ganztagsschule ist eine dringende Notwendigkeit. Derzeit gibt es 105.000 Ganztagsbetreuungsplätze in Österreich, der Bedarf bzw. Wunsch nach mehr Ganztagsschulplätzen ist jedoch enorm. Eine IFES-Studie von 2009 (Elternbefragung zu ganztägigen Schulangeboten) kommt auf einen </w:t>
      </w:r>
      <w:r w:rsidRPr="007E2D8B">
        <w:rPr>
          <w:rFonts w:cs="MinionPro-Regular"/>
          <w:b w:val="0"/>
          <w:bCs w:val="0"/>
          <w:color w:val="000000" w:themeColor="text1"/>
          <w:sz w:val="22"/>
          <w:szCs w:val="22"/>
        </w:rPr>
        <w:lastRenderedPageBreak/>
        <w:t xml:space="preserve">zusätzlichen Bedarf von 230.000 Plätzen. Hinsichtlich der Kosten für den Ausbau von Ganztagsschulen gibt es in Österreich keine Studien. In Deutschland wird die Adaptierung bzw. der Ausbau von 1.000 Schulen für diese Schulform auf rund 1 Mrd.  Euro geschätzt (siehe Kosten von Ganztagsschulen von K. </w:t>
      </w:r>
      <w:proofErr w:type="spellStart"/>
      <w:r w:rsidRPr="007E2D8B">
        <w:rPr>
          <w:rFonts w:cs="MinionPro-Regular"/>
          <w:b w:val="0"/>
          <w:bCs w:val="0"/>
          <w:color w:val="000000" w:themeColor="text1"/>
          <w:sz w:val="22"/>
          <w:szCs w:val="22"/>
        </w:rPr>
        <w:t>Himpele</w:t>
      </w:r>
      <w:proofErr w:type="spellEnd"/>
      <w:r w:rsidRPr="007E2D8B">
        <w:rPr>
          <w:rFonts w:cs="MinionPro-Regular"/>
          <w:b w:val="0"/>
          <w:bCs w:val="0"/>
          <w:color w:val="000000" w:themeColor="text1"/>
          <w:sz w:val="22"/>
          <w:szCs w:val="22"/>
        </w:rPr>
        <w:t xml:space="preserve"> &amp; D. Dohmen, in FIBS 2006). Die zusätzlichen Kosten für die Betreuung belaufen sich pro </w:t>
      </w:r>
      <w:proofErr w:type="spellStart"/>
      <w:r w:rsidRPr="007E2D8B">
        <w:rPr>
          <w:rFonts w:cs="MinionPro-Regular"/>
          <w:b w:val="0"/>
          <w:bCs w:val="0"/>
          <w:color w:val="000000" w:themeColor="text1"/>
          <w:sz w:val="22"/>
          <w:szCs w:val="22"/>
        </w:rPr>
        <w:t>SchülerIn</w:t>
      </w:r>
      <w:proofErr w:type="spellEnd"/>
      <w:r w:rsidRPr="007E2D8B">
        <w:rPr>
          <w:rFonts w:cs="MinionPro-Regular"/>
          <w:b w:val="0"/>
          <w:bCs w:val="0"/>
          <w:color w:val="000000" w:themeColor="text1"/>
          <w:sz w:val="22"/>
          <w:szCs w:val="22"/>
        </w:rPr>
        <w:t xml:space="preserve"> und Monat auf 150 Euro. Würde man die zusätzlich benötigten 230.000 Ganztagsbetreuungsplätze schaffen, wären das jährliche Zusatzkosten von 414 Mio.  Euro. Für 2015 können mit zusätzlichen Investitionen von 350 Mio.  Euro bereits erste Verbesserungen ermöglicht werden.</w:t>
      </w:r>
    </w:p>
    <w:p w:rsidR="00335CDE" w:rsidRDefault="007E2D8B" w:rsidP="007E2D8B">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Der Investitionsbedarf insgesamt ist jedoch weit höher. Neben Geld für mehr Bildungspersonal braucht es auch dringend Geld für die Verbesserung der räumlichen Situation in den Schulen – angefangen von mehr Platz für das Lehrpersonal bis hin zur Renovierung bestehender Gebäude.</w:t>
      </w:r>
    </w:p>
    <w:p w:rsidR="007E2D8B" w:rsidRDefault="007E2D8B" w:rsidP="007E2D8B">
      <w:pPr>
        <w:pStyle w:val="ZGBManahme"/>
      </w:pPr>
    </w:p>
    <w:p w:rsidR="00335CDE" w:rsidRDefault="00335CDE" w:rsidP="00335CDE">
      <w:pPr>
        <w:pStyle w:val="ZGBManahme"/>
      </w:pPr>
      <w:r w:rsidRPr="00335CDE">
        <w:t>Mehr Geld für Hochschulbildung</w:t>
      </w:r>
    </w:p>
    <w:p w:rsidR="00335CDE" w:rsidRDefault="007E2D8B" w:rsidP="00335CDE">
      <w:pPr>
        <w:pStyle w:val="ZGBFlietext"/>
      </w:pPr>
      <w:r w:rsidRPr="007E2D8B">
        <w:t xml:space="preserve">Derzeit werden für Österreichs Hochschulen rund 4 Mrd. Euro ausgegeben. Dies entspricht einem Anteil des BIP von 1,26%. Das bedeutet zwar einen geringfügigen Anstieg zum Vorjahr (1,25% des BIP); vom EU-Ziel, bis 2015 2% des BIP für die Hochschulen zu veranschlagen, ist man aber noch weit entfernt. Um dieses Ziel zu erreichen wären insgesamt zusätzliche 2,3 Mrd. Euro notwendig. Der Trend geht aber in die andere Richtung. Bis 2017 sind Kürzungen der Ermessensausgaben von insgesamt bis zu 118,2 Mio. Euro vorgesehen. Das Erreichen eines ausgeglichenen strukturellen Defizits bis 2016 steht hier deutlich im Konflikt mit dem Ausbau des tertiären Bildungssektors. Bei den Fachhochschulen wurde im Regierungsprogramm ein Ausbau der Studienplätze um 50.000 bis zum Jahr 2018 vorgesehen. Hier gibt es zwar ein Plus von 7,8% der Budgetmittel, allerdings sieht der Finanzrahmen bis 2018 nur 56 Mio. Euro anstelle der benötigten 62 Mio. Euro vor. Das Universitätsbudget steigt mit +3,3% zwar geringfügig stärker als das BIP, hier muss aber die Neugründung der Medizinuniversität Linz berücksichtigt werden, für die Budgetmittel in der Höhe von 61,6 Mio. Euro bis 2018 veranschlagt sind (vgl. AK-Budgetanalyse 2014-2018, S. 51 - 53). Um das EU-Ziel möglichst rasch zu erreichen, braucht es für 2015 eine zusätzliche Milliarde Euro für diesen Bereich. Damit können dringende Investitionen zur Verbesserung der katastrophalen Betreuungsverhältnisse, dringende bauliche Maßnahmen zur Erweiterung der Kapazitäten sowie eine Verbesserung der Arbeitsbedingungen für derzeit prekär beschäftigte Lehrende werden mit den veranschlagten Budgetmitteln getätigt werden. So sollen damit prekäre Dienstverhältnisse an den Universitäten in Planstellen umgewandelt und zusätzlich mindestens 500 neue Professuren geschaffen werden und so das Betreuungsverhältnis - derzeit betreut ein/e </w:t>
      </w:r>
      <w:proofErr w:type="spellStart"/>
      <w:r w:rsidRPr="007E2D8B">
        <w:t>ProfessorIn</w:t>
      </w:r>
      <w:proofErr w:type="spellEnd"/>
      <w:r w:rsidRPr="007E2D8B">
        <w:t xml:space="preserve"> 124 Studierende – verbessert werden. Darüber hinaus werden mit diesen Investitionen auch zusätzliche Studienplätze im Fachhochschulsektor geschaffen (10 Mio.  Euro ermöglichen zusätzlich 1.500 Studienplätze). Dringend notwendige bauliche Maßnahmen an den Universitäten sind aus den Gewinnen der Bundesimmobiliengesellschaft zu finanzieren.</w:t>
      </w:r>
    </w:p>
    <w:p w:rsidR="007E2D8B" w:rsidRDefault="007E2D8B" w:rsidP="00335CDE">
      <w:pPr>
        <w:pStyle w:val="ZGBFlietext"/>
      </w:pPr>
    </w:p>
    <w:p w:rsidR="00335CDE" w:rsidRDefault="00335CDE" w:rsidP="00335CDE">
      <w:pPr>
        <w:pStyle w:val="ZGBManahme"/>
      </w:pPr>
      <w:r w:rsidRPr="00335CDE">
        <w:t>Bessere soziale Absicherung für Studierende und Ausbau des Stipendiensystems</w:t>
      </w:r>
    </w:p>
    <w:p w:rsidR="00335CDE" w:rsidRDefault="007E2D8B" w:rsidP="00335CDE">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Neben den obigen Maßnahmen geht es auch darum, die soziale Absicherung von Studierenden zu verbessern. Die derzeitige Höchststudienbeihilfe (inklusive Familienbeihilfe) liegt bei 679 Euro im Monat und damit weit unter allen anderen Werten, die zur Existenzsicherung definiert sind (Mindestsicherung: ca. 750 Euro; Ausgleichszulagenrichtsatz: ca. 815 Euro). Die durchschnittlich ausbezahlte Studienbeihilfe liegt deutlich darunter. Studierende sind daher auf die finanzielle Unterstützung der Eltern oder auf die eigene Erwerbstätigkeit angewiesen. Letztere verzögert häufig den Studienfortschritt. Um die Eigenständigkeit und Unabhängigkeit von Studierenden (von Eltern und dem Arbeitsmarkt) sicherzustellen, müssen die Höchstbeihilfen auf ein existenzsicherndes Niveau angehoben und zusätzliche Unterstützungen (wie z. B. Fahrtkostenzuschuss) an die realen Gegebenheiten angepasst werden. Die Familienbeihilfe muss von Altersgrenzen entkoppelt und stattdessen an die Studiendauer gebunden werden. Die Regelung der Studiendauer und der Toleranzsemester soll der tatsächlichen Studienrealität entsprechen. In einem ersten Schritt ist daher das Beihilfensystem zu reformieren. Dies könnte unter Verwendung der 2011 durch die Senkung der Anspruchsdauer der Familienbeihilfe (von 26 auf 24 Jahren) eingesparten Ausgaben von 58 Mio. Euro teilweise erfolgen. Längerfristig streben wir ein Grundstipendium von monatlich 800 Euro an, dass eine bedingungslose Unterstützung von Menschen in Ausbildung darstellt. Ebenso soll es für Studierende möglich sein, den Status „</w:t>
      </w:r>
      <w:proofErr w:type="spellStart"/>
      <w:r w:rsidRPr="007E2D8B">
        <w:rPr>
          <w:rFonts w:cs="MinionPro-Regular"/>
          <w:b w:val="0"/>
          <w:bCs w:val="0"/>
          <w:color w:val="000000" w:themeColor="text1"/>
          <w:sz w:val="22"/>
          <w:szCs w:val="22"/>
        </w:rPr>
        <w:t>TeilzeitstudierendeR</w:t>
      </w:r>
      <w:proofErr w:type="spellEnd"/>
      <w:r w:rsidRPr="007E2D8B">
        <w:rPr>
          <w:rFonts w:cs="MinionPro-Regular"/>
          <w:b w:val="0"/>
          <w:bCs w:val="0"/>
          <w:color w:val="000000" w:themeColor="text1"/>
          <w:sz w:val="22"/>
          <w:szCs w:val="22"/>
        </w:rPr>
        <w:t xml:space="preserve">“ zu erlangen, um nicht aufgrund beruflicher Tätigkeit neben dem Studium aus dem Beihilfensystem zu fallen. Neben der finanziellen Absicherung müssen auch Sachleistungen u.a. in den Bereichen Wohnen, Ernährung, Studienmaterialien etc. sowie Maßnahmen für Studierende mit </w:t>
      </w:r>
      <w:r w:rsidRPr="007E2D8B">
        <w:rPr>
          <w:rFonts w:cs="MinionPro-Regular"/>
          <w:b w:val="0"/>
          <w:bCs w:val="0"/>
          <w:color w:val="000000" w:themeColor="text1"/>
          <w:sz w:val="22"/>
          <w:szCs w:val="22"/>
        </w:rPr>
        <w:lastRenderedPageBreak/>
        <w:t>Einschränkungen oder in bestimmten Lebenssituationen mit besonderen Bedürfnissen (z. B. mit Kind) ausgebaut werden, um den Zugang zu Hochschulbildung für alle sicherzustellen.</w:t>
      </w:r>
    </w:p>
    <w:p w:rsidR="007E2D8B" w:rsidRPr="00335CDE" w:rsidRDefault="007E2D8B" w:rsidP="00335CDE">
      <w:pPr>
        <w:pStyle w:val="ZGBManahme"/>
      </w:pPr>
    </w:p>
    <w:p w:rsidR="00335CDE" w:rsidRDefault="00335CDE" w:rsidP="00335CDE">
      <w:pPr>
        <w:pStyle w:val="ZGBManahme"/>
      </w:pPr>
      <w:r w:rsidRPr="00335CDE">
        <w:t>Mehr Geld für die Erwachsenenbildung</w:t>
      </w:r>
    </w:p>
    <w:p w:rsidR="00335CDE" w:rsidRDefault="007E2D8B" w:rsidP="00335CDE">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Einrichtungen der allgemeinen Erwachsenenbildung sind grundsätzlich und gerade in Krisenzeiten ein unverzichtbarer Beitrag zur Verbesserung gesellschaftlicher Partizipationschancen. Gerade jetzt ist es notwendig, jene Einrichtungen der Erwachsenenbildung zu unterstützen, die entsprechend ihrem Selbstverständnis Bildungsarbeit leisten, die sich als emanzipatorisch, beteiligend, gendergerecht und antirassistisch versteht – Qualitätskriterien, die sicherstellen, dass sowohl Mitgestaltung der Gesellschaft als auch Integration in die Gesellschaft gelingt. Diesen Einrichtungen geht es um Bildung, die den </w:t>
      </w:r>
      <w:proofErr w:type="spellStart"/>
      <w:r w:rsidRPr="007E2D8B">
        <w:rPr>
          <w:rFonts w:cs="MinionPro-Regular"/>
          <w:b w:val="0"/>
          <w:bCs w:val="0"/>
          <w:color w:val="000000" w:themeColor="text1"/>
          <w:sz w:val="22"/>
          <w:szCs w:val="22"/>
        </w:rPr>
        <w:t>BürgerInnen</w:t>
      </w:r>
      <w:proofErr w:type="spellEnd"/>
      <w:r w:rsidRPr="007E2D8B">
        <w:rPr>
          <w:rFonts w:cs="MinionPro-Regular"/>
          <w:b w:val="0"/>
          <w:bCs w:val="0"/>
          <w:color w:val="000000" w:themeColor="text1"/>
          <w:sz w:val="22"/>
          <w:szCs w:val="22"/>
        </w:rPr>
        <w:t xml:space="preserve"> Lust macht und sie dazu befähigt, gesellschaftliche Entwicklungen mitzugestalten und zu einer demokratischen und gerechten Gesellschaft beizutragen. In einem ersten Schritt schlagen wir zusätzliche Investitionen von 65 Mio.  Euro vor. Ziel ist es, in Summe 300 Mio.  Euro in den nächsten drei Jahren zu investieren. Damit können bestehende Einrichtungen abgesichert und das Angebot erweitert werden. Das bedeutet auch die Schaffung von insgesamt 2.000 zusätzlichen Vollanstellungen.</w:t>
      </w:r>
    </w:p>
    <w:p w:rsidR="007E2D8B" w:rsidRDefault="007E2D8B" w:rsidP="00335CDE">
      <w:pPr>
        <w:pStyle w:val="ZGBManahme"/>
      </w:pPr>
    </w:p>
    <w:p w:rsidR="00335CDE" w:rsidRDefault="00335CDE" w:rsidP="00335CDE">
      <w:pPr>
        <w:pStyle w:val="ZGBManahme"/>
      </w:pPr>
      <w:r w:rsidRPr="00335CDE">
        <w:t>Förderung der Jugendarbeit</w:t>
      </w:r>
    </w:p>
    <w:p w:rsidR="00335CDE" w:rsidRDefault="007E2D8B" w:rsidP="00335CDE">
      <w:pPr>
        <w:pStyle w:val="ZGBFlietext"/>
      </w:pPr>
      <w:r w:rsidRPr="007E2D8B">
        <w:t xml:space="preserve">Kinder- und Jugendorganisationen sind </w:t>
      </w:r>
      <w:proofErr w:type="spellStart"/>
      <w:r w:rsidRPr="007E2D8B">
        <w:t>HauptanbieterInnen</w:t>
      </w:r>
      <w:proofErr w:type="spellEnd"/>
      <w:r w:rsidRPr="007E2D8B">
        <w:t xml:space="preserve"> nicht-formaler Bildung und spielen als „</w:t>
      </w:r>
      <w:proofErr w:type="spellStart"/>
      <w:r w:rsidRPr="007E2D8B">
        <w:t>entpädagogisierte</w:t>
      </w:r>
      <w:proofErr w:type="spellEnd"/>
      <w:r w:rsidRPr="007E2D8B">
        <w:t xml:space="preserve"> Räume“ eine wichtige Rolle in der Entwicklung junger Menschen. Im Gegensatz zum formalen Bildungssystem ermöglichen diese Räume selbstbestimmtes, selbst organisiertes Lernen und Kompetenzentwicklung abseits von Erfolgs- oder Ergebnisdruck. Die außerschulische Kinder- und Jugendarbeit leistet also einen wichtigen Beitrag im Bildungssektor. Seit Einführung des Bundes-Jugendförderungsgesetzes im Jahr 2001 sind die Fördermittel für die außerschulische Kinder- und Jugendarbeit jedoch nicht erhöht worden, was de facto bedeutet, dass der Sektor der bundesweiten Kinder- und Jugendarbeit allein inflationsbedingt gut 15% weniger an Mitteln zur Verfügung hat als noch vor 10 Jahren. Eine Erhöhung der bisherigen Fördermittel um 15 Mio.  Euro würde für den wichtigen Sektor der nicht-formalen Bildung bedeuten, dass verstärkt Kinder- und Jugendarbeit betrieben werden könnte und dadurch auch hier neue Arbeitsplätze geschaffen werden könnten.</w:t>
      </w:r>
    </w:p>
    <w:p w:rsidR="00053152" w:rsidRDefault="00053152" w:rsidP="00335CDE">
      <w:pPr>
        <w:pStyle w:val="ZGBFlietext"/>
      </w:pPr>
    </w:p>
    <w:p w:rsidR="007E2D8B" w:rsidRDefault="007E2D8B" w:rsidP="00335CDE">
      <w:pPr>
        <w:pStyle w:val="ZGBFlietext"/>
      </w:pPr>
    </w:p>
    <w:p w:rsidR="00335CDE" w:rsidRDefault="00335CDE" w:rsidP="009A6654">
      <w:pPr>
        <w:pStyle w:val="berschrift2"/>
      </w:pPr>
      <w:bookmarkStart w:id="17" w:name="_Toc406072760"/>
      <w:r>
        <w:t>Familienförderung erhöhen und vereinfachen</w:t>
      </w:r>
      <w:bookmarkEnd w:id="17"/>
    </w:p>
    <w:p w:rsidR="00335CDE" w:rsidRDefault="00335CDE" w:rsidP="00335CDE">
      <w:pPr>
        <w:pStyle w:val="ZGBFlietext"/>
      </w:pPr>
    </w:p>
    <w:p w:rsidR="00335CDE" w:rsidRPr="00335CDE" w:rsidRDefault="007E2D8B" w:rsidP="00335CDE">
      <w:pPr>
        <w:pStyle w:val="ZGBFlietext"/>
      </w:pPr>
      <w:r w:rsidRPr="007E2D8B">
        <w:rPr>
          <w:b/>
          <w:i/>
          <w:color w:val="auto"/>
        </w:rPr>
        <w:t>Österreich gibt im internationalen Vergleich sehr viel Geld für Familien aus. Mit einem Anteil von 2,6% (Daten 2007) vom Bruttoinlandsprodukt liegt Österreich deutlich über dem OECD-Schnitt von 2,2% (siehe OECD Studie aus 2011 „</w:t>
      </w:r>
      <w:proofErr w:type="spellStart"/>
      <w:r w:rsidRPr="007E2D8B">
        <w:rPr>
          <w:b/>
          <w:i/>
          <w:color w:val="auto"/>
        </w:rPr>
        <w:t>Doing</w:t>
      </w:r>
      <w:proofErr w:type="spellEnd"/>
      <w:r w:rsidRPr="007E2D8B">
        <w:rPr>
          <w:b/>
          <w:i/>
          <w:color w:val="auto"/>
        </w:rPr>
        <w:t xml:space="preserve"> </w:t>
      </w:r>
      <w:proofErr w:type="spellStart"/>
      <w:r w:rsidRPr="007E2D8B">
        <w:rPr>
          <w:b/>
          <w:i/>
          <w:color w:val="auto"/>
        </w:rPr>
        <w:t>better</w:t>
      </w:r>
      <w:proofErr w:type="spellEnd"/>
      <w:r w:rsidRPr="007E2D8B">
        <w:rPr>
          <w:b/>
          <w:i/>
          <w:color w:val="auto"/>
        </w:rPr>
        <w:t xml:space="preserve"> </w:t>
      </w:r>
      <w:proofErr w:type="spellStart"/>
      <w:r w:rsidRPr="007E2D8B">
        <w:rPr>
          <w:b/>
          <w:i/>
          <w:color w:val="auto"/>
        </w:rPr>
        <w:t>for</w:t>
      </w:r>
      <w:proofErr w:type="spellEnd"/>
      <w:r w:rsidRPr="007E2D8B">
        <w:rPr>
          <w:b/>
          <w:i/>
          <w:color w:val="auto"/>
        </w:rPr>
        <w:t xml:space="preserve"> </w:t>
      </w:r>
      <w:proofErr w:type="spellStart"/>
      <w:r w:rsidRPr="007E2D8B">
        <w:rPr>
          <w:b/>
          <w:i/>
          <w:color w:val="auto"/>
        </w:rPr>
        <w:t>families</w:t>
      </w:r>
      <w:proofErr w:type="spellEnd"/>
      <w:r w:rsidRPr="007E2D8B">
        <w:rPr>
          <w:b/>
          <w:i/>
          <w:color w:val="auto"/>
        </w:rPr>
        <w:t>“). 2011 lag dieser Anteil bei 2,8% des BIP. Dieses Geld wird allerdings aus verteilungs- und gleichstellungspolitischer Sicht problematisch eingesetzt. Es braucht daher einen grundlegenden Umbau der Familienförderung. Die hier vorgeschlagene Reform der Familienförderung bezieht sich auf die Geldleistungen. Eine Verbesserung der Familienförderung braucht natürlich auch den Ausbau von Sachleistungen – insbesondere im Bereich der Kinderbetreuung von der Krippe bis zur Schule. Die von uns vorgeschlagenen Maßnahmen finden sich im Kapitel „Freie Bildung für alle“.</w:t>
      </w:r>
    </w:p>
    <w:p w:rsidR="00335CDE" w:rsidRPr="00335CDE" w:rsidRDefault="00335CDE" w:rsidP="00335CDE">
      <w:pPr>
        <w:pStyle w:val="ZGBFlietext"/>
      </w:pPr>
    </w:p>
    <w:p w:rsidR="00335CDE" w:rsidRDefault="00335CDE" w:rsidP="00335CDE">
      <w:pPr>
        <w:pStyle w:val="ZGBManahme"/>
      </w:pPr>
      <w:r w:rsidRPr="00335CDE">
        <w:t>Vereinfachung der Familienförderung und Erhöhung der Pro-Kopf Kinderbeihilfe</w:t>
      </w:r>
    </w:p>
    <w:p w:rsidR="00335CDE" w:rsidRDefault="007E2D8B" w:rsidP="00335CDE">
      <w:pPr>
        <w:pStyle w:val="ZGBManahme"/>
        <w:rPr>
          <w:rFonts w:cs="MinionPro-Regular"/>
          <w:b w:val="0"/>
          <w:bCs w:val="0"/>
          <w:color w:val="000000" w:themeColor="text1"/>
          <w:sz w:val="22"/>
          <w:szCs w:val="22"/>
        </w:rPr>
      </w:pPr>
      <w:r w:rsidRPr="007E2D8B">
        <w:rPr>
          <w:rFonts w:cs="MinionPro-Regular"/>
          <w:b w:val="0"/>
          <w:bCs w:val="0"/>
          <w:color w:val="000000" w:themeColor="text1"/>
          <w:sz w:val="22"/>
          <w:szCs w:val="22"/>
        </w:rPr>
        <w:t xml:space="preserve">Die österreichische Familienförderung besteht aus einem Gewirr unterschiedlicher Leistungen, </w:t>
      </w:r>
      <w:proofErr w:type="gramStart"/>
      <w:r w:rsidRPr="007E2D8B">
        <w:rPr>
          <w:rFonts w:cs="MinionPro-Regular"/>
          <w:b w:val="0"/>
          <w:bCs w:val="0"/>
          <w:color w:val="000000" w:themeColor="text1"/>
          <w:sz w:val="22"/>
          <w:szCs w:val="22"/>
        </w:rPr>
        <w:t>das</w:t>
      </w:r>
      <w:proofErr w:type="gramEnd"/>
      <w:r w:rsidRPr="007E2D8B">
        <w:rPr>
          <w:rFonts w:cs="MinionPro-Regular"/>
          <w:b w:val="0"/>
          <w:bCs w:val="0"/>
          <w:color w:val="000000" w:themeColor="text1"/>
          <w:sz w:val="22"/>
          <w:szCs w:val="22"/>
        </w:rPr>
        <w:t xml:space="preserve"> kaum noch jemand durchblickt. In Zukunft soll es pro Kind nur mehr eine, ausreichend hohe, „Familienbeihilfe neu“ geben, etwaige Staffelungen erfolgen nach einem transparenten System. Diese Leistung wäre deutlich höher als die derzeitige Familienbeihilfe und könnte mehr als 200 Euro pro Kind im Monat betragen. Kinder mit Behinderung sollen wie bisher eine deutlich höhere Leistung erhalten (zumindest +140 Euro). Generell soll die Familienbeihilfe laufend wertangepasst werden.</w:t>
      </w:r>
    </w:p>
    <w:p w:rsidR="007E2D8B" w:rsidRDefault="007E2D8B" w:rsidP="00335CDE">
      <w:pPr>
        <w:pStyle w:val="ZGBManahme"/>
      </w:pPr>
    </w:p>
    <w:p w:rsidR="00335CDE" w:rsidRDefault="00335CDE" w:rsidP="00335CDE">
      <w:pPr>
        <w:pStyle w:val="ZGBManahme"/>
      </w:pPr>
      <w:r w:rsidRPr="00335CDE">
        <w:t>Finanzierung durch die Umwidmung der steuerlichen Leistungen</w:t>
      </w:r>
    </w:p>
    <w:p w:rsidR="005A5AB7" w:rsidRDefault="007E2D8B" w:rsidP="00335CDE">
      <w:pPr>
        <w:pStyle w:val="ZGBManahme"/>
      </w:pPr>
      <w:r w:rsidRPr="007E2D8B">
        <w:rPr>
          <w:rFonts w:cs="MinionPro-Regular"/>
          <w:b w:val="0"/>
          <w:bCs w:val="0"/>
          <w:color w:val="000000" w:themeColor="text1"/>
          <w:sz w:val="22"/>
          <w:szCs w:val="22"/>
        </w:rPr>
        <w:t xml:space="preserve">Die Finanzierung dieser Verbesserung kann kostenneutral durch verschiedene Maßnahmen erfolgen: 1. die Abschaffung von steuerlichen Leistungen, die niedrige Einkommen benachteiligen. Dazu gehört der </w:t>
      </w:r>
      <w:r w:rsidRPr="007E2D8B">
        <w:rPr>
          <w:rFonts w:cs="MinionPro-Regular"/>
          <w:b w:val="0"/>
          <w:bCs w:val="0"/>
          <w:color w:val="000000" w:themeColor="text1"/>
          <w:sz w:val="22"/>
          <w:szCs w:val="22"/>
        </w:rPr>
        <w:lastRenderedPageBreak/>
        <w:t xml:space="preserve">Kinderfreibetrag, von dem bislang nicht einmal die Hälfte aller Kinder profitieren konnte – oft, weil die Eltern zu wenig verdienen. 2. Die Andersverwendung von Mitteln für den </w:t>
      </w:r>
      <w:proofErr w:type="spellStart"/>
      <w:r w:rsidRPr="007E2D8B">
        <w:rPr>
          <w:rFonts w:cs="MinionPro-Regular"/>
          <w:b w:val="0"/>
          <w:bCs w:val="0"/>
          <w:color w:val="000000" w:themeColor="text1"/>
          <w:sz w:val="22"/>
          <w:szCs w:val="22"/>
        </w:rPr>
        <w:t>Alleinverdienerabsetzbetrag</w:t>
      </w:r>
      <w:proofErr w:type="spellEnd"/>
      <w:r w:rsidRPr="007E2D8B">
        <w:rPr>
          <w:rFonts w:cs="MinionPro-Regular"/>
          <w:b w:val="0"/>
          <w:bCs w:val="0"/>
          <w:color w:val="000000" w:themeColor="text1"/>
          <w:sz w:val="22"/>
          <w:szCs w:val="22"/>
        </w:rPr>
        <w:t xml:space="preserve"> (AVAB). Dieser fördert derzeit Familienmodelle, bei denen der/die </w:t>
      </w:r>
      <w:proofErr w:type="spellStart"/>
      <w:r w:rsidRPr="007E2D8B">
        <w:rPr>
          <w:rFonts w:cs="MinionPro-Regular"/>
          <w:b w:val="0"/>
          <w:bCs w:val="0"/>
          <w:color w:val="000000" w:themeColor="text1"/>
          <w:sz w:val="22"/>
          <w:szCs w:val="22"/>
        </w:rPr>
        <w:t>PartnerIn</w:t>
      </w:r>
      <w:proofErr w:type="spellEnd"/>
      <w:r w:rsidRPr="007E2D8B">
        <w:rPr>
          <w:rFonts w:cs="MinionPro-Regular"/>
          <w:b w:val="0"/>
          <w:bCs w:val="0"/>
          <w:color w:val="000000" w:themeColor="text1"/>
          <w:sz w:val="22"/>
          <w:szCs w:val="22"/>
        </w:rPr>
        <w:t xml:space="preserve"> nur wenig oder gar nichts verdienen darf, wenn man den AVAB in Anspruch nehmen möchte. Durch die Abschaffung des Kinderfreibetrags und die Umwidmung des </w:t>
      </w:r>
      <w:proofErr w:type="spellStart"/>
      <w:r w:rsidRPr="007E2D8B">
        <w:rPr>
          <w:rFonts w:cs="MinionPro-Regular"/>
          <w:b w:val="0"/>
          <w:bCs w:val="0"/>
          <w:color w:val="000000" w:themeColor="text1"/>
          <w:sz w:val="22"/>
          <w:szCs w:val="22"/>
        </w:rPr>
        <w:t>Alleinverdienerabsetzbetrags</w:t>
      </w:r>
      <w:proofErr w:type="spellEnd"/>
      <w:r w:rsidRPr="007E2D8B">
        <w:rPr>
          <w:rFonts w:cs="MinionPro-Regular"/>
          <w:b w:val="0"/>
          <w:bCs w:val="0"/>
          <w:color w:val="000000" w:themeColor="text1"/>
          <w:sz w:val="22"/>
          <w:szCs w:val="22"/>
        </w:rPr>
        <w:t xml:space="preserve"> und des Freibetrags für Kinderbetreuungskosten stehen zwischen 330 und 530 Mio.  Euro zur Verfügung, die für eine „Familienbeihilfe Neu“ und den Ausbau der Kinderbetreuung eingesetzt werden können. Abgesehen von diesen Reformen schlagen wir im Kapitel „Arbeit entlasten“ auch eine sozial gerechtere Finanzierung des Familienlastenausgleichsfonds vor. Der Ausbau der Kinderbetreuung (längere Öffnungszeiten, mehr Personal, kleinere Gruppen) mit dem Ziel einer echten Frühförderung und die Verbesserung der Vereinbarkeit von Familie und Beruf sind ebenfalls zentrale Eckpfeiler der Familien- und auch der Frauenförderung. Details dazu finden sich im Kapitel „Freie Bildung für alle!“.</w:t>
      </w:r>
    </w:p>
    <w:p w:rsidR="00335CDE" w:rsidRDefault="00335CDE" w:rsidP="00335CDE">
      <w:pPr>
        <w:pStyle w:val="ZGBManahme"/>
      </w:pPr>
    </w:p>
    <w:p w:rsidR="00335CDE" w:rsidRDefault="00335CDE" w:rsidP="009A6654">
      <w:pPr>
        <w:pStyle w:val="berschrift2"/>
      </w:pPr>
      <w:bookmarkStart w:id="18" w:name="_Toc406072761"/>
      <w:r>
        <w:t>Leistbares Wohnen für alle</w:t>
      </w:r>
      <w:bookmarkEnd w:id="18"/>
    </w:p>
    <w:p w:rsidR="00335CDE" w:rsidRDefault="00335CDE" w:rsidP="00335CDE">
      <w:pPr>
        <w:pStyle w:val="ZGBFlietext"/>
      </w:pPr>
    </w:p>
    <w:p w:rsidR="006738E5" w:rsidRDefault="007E2D8B" w:rsidP="00335CDE">
      <w:pPr>
        <w:pStyle w:val="ZGBEinleitung"/>
      </w:pPr>
      <w:r w:rsidRPr="007E2D8B">
        <w:t>Wohnen ist ein Grundrecht. Artikel 25 der UN-Menschenrechtserklärung und auch die Grundrechtecharta der Europäischen Union haben dieses Recht festgeschrieben. Wohnen ist in den letzten Jahren teuer geworden, leistbarer Wohnraum ist auch in Österreich zunehmend Mangelware, insbesondere in Ballungszentren. Damit das Grundrecht auf Wohnen für alle erfüllt wird und Wohnen wieder für alle leistbar wird bzw. bleibt braucht es aus unserer Sicht folgende Maßnahmen: mehr geförderte Wohnungen, ein neues Mietrecht und Maßnahmen für armutsgefährdete Menschen bzw. Menschen, die in manifester Armut leben.</w:t>
      </w:r>
    </w:p>
    <w:p w:rsidR="00335CDE" w:rsidRDefault="00335CDE" w:rsidP="00335CDE">
      <w:pPr>
        <w:pStyle w:val="ZGBFlietext"/>
      </w:pPr>
    </w:p>
    <w:p w:rsidR="00335CDE" w:rsidRDefault="00335CDE" w:rsidP="00335CDE">
      <w:pPr>
        <w:pStyle w:val="ZGBManahme"/>
      </w:pPr>
      <w:r w:rsidRPr="00335CDE">
        <w:t xml:space="preserve">Leistbares Wohnen für alle braucht mehr geförderte Wohnungen </w:t>
      </w:r>
    </w:p>
    <w:p w:rsidR="007E2D8B" w:rsidRDefault="007E2D8B" w:rsidP="007E2D8B">
      <w:pPr>
        <w:pStyle w:val="ZGBFlietext"/>
      </w:pPr>
      <w:r>
        <w:t>Derz</w:t>
      </w:r>
      <w:r w:rsidR="00E110A2">
        <w:t>eit werden jährlich rund 48.000</w:t>
      </w:r>
      <w:r w:rsidR="00E110A2">
        <w:rPr>
          <w:rStyle w:val="Funotenzeichen"/>
        </w:rPr>
        <w:footnoteReference w:id="3"/>
      </w:r>
      <w:r>
        <w:t xml:space="preserve">  neue Wohnungen in Österreich gebaut. Während der freifinanzierte Vorsorgewohnungsbau (noch) boomt, sind die Zusicherungen im geförderten Wohnbau, insbesondere im Mietwohnungsbau, eingebrochen. In Summe wird daher nicht genügend leistbarer Wohnraum gebaut. Es bräuchte rund 10.000 geförderte Wohnungen mehr pro Jahr, um die bestehende Nachfrage nach günstigem Wohnraum zu decken und dadurch auch sicherzustellen, dass Wohnen leistbar bleibt. Die größte Nachfrage nach Wohnraum gibt es im städtischen Bereich. Ebenso braucht es ein differenziertes Angebot an Wohnungsgrößen, um leistbares Wohnen für alle Menschen, je nachdem in welcher Lebenslage sie sich befinden, sicherzustellen. </w:t>
      </w:r>
    </w:p>
    <w:p w:rsidR="00335CDE" w:rsidRPr="00335CDE" w:rsidRDefault="007E2D8B" w:rsidP="007E2D8B">
      <w:pPr>
        <w:pStyle w:val="ZGBFlietext"/>
      </w:pPr>
      <w:r>
        <w:t xml:space="preserve">Um den bestehenden Bedarf an zusätzlichen leistbaren Wohnungen sicherzustellen, sind folgende Schritte zu setzen: </w:t>
      </w:r>
    </w:p>
    <w:p w:rsidR="00335CDE" w:rsidRPr="00335CDE" w:rsidRDefault="00335CDE" w:rsidP="00335CDE">
      <w:pPr>
        <w:pStyle w:val="ZGBFlietext"/>
        <w:numPr>
          <w:ilvl w:val="0"/>
          <w:numId w:val="18"/>
        </w:numPr>
        <w:rPr>
          <w:u w:val="single"/>
        </w:rPr>
      </w:pPr>
      <w:r w:rsidRPr="00335CDE">
        <w:rPr>
          <w:u w:val="single"/>
        </w:rPr>
        <w:t>Reform der Wohnbauförderung</w:t>
      </w:r>
    </w:p>
    <w:p w:rsidR="007E2D8B" w:rsidRDefault="007E2D8B" w:rsidP="00E110A2">
      <w:pPr>
        <w:pStyle w:val="ZGBFlietext"/>
        <w:ind w:firstLine="708"/>
      </w:pPr>
      <w:r>
        <w:t xml:space="preserve">Die Wohnbauförderung des Bundes wurde seit 1996 in drei Schritten verändert: </w:t>
      </w:r>
    </w:p>
    <w:p w:rsidR="00335CDE" w:rsidRPr="00335CDE" w:rsidRDefault="007E2D8B" w:rsidP="00E110A2">
      <w:pPr>
        <w:pStyle w:val="ZGBFlietext"/>
        <w:ind w:left="708"/>
      </w:pPr>
      <w:r>
        <w:t>1996 wurde die Höhe der Wohnbauförderung des Bundes auf 1,78 Mrd. Euro jährlich eingefroren. 2001 wurde die Zweckbindung der Rückflüsse der Wohnbauförderungsdarlehen aufgehoben und somit konnten die Bundesländer, über die die Wohnbauförderung abgewickelt wird, diese Gelder im Budget auch anderweitig verwenden. Österreichweit betragen die Rückflüsse derzeit rund 1,2 Mrd.  Euro. 2008 wurde die Zweckbindung auch für die 1,78 Mrd.  Euro aufgehoben. Aus unserer Sicht ist die Wohnbauförderung folgendermaßen zu reformieren:</w:t>
      </w:r>
    </w:p>
    <w:p w:rsidR="00335CDE" w:rsidRPr="00335CDE" w:rsidRDefault="00E110A2" w:rsidP="00E110A2">
      <w:pPr>
        <w:pStyle w:val="ZGBFlietext"/>
        <w:numPr>
          <w:ilvl w:val="1"/>
          <w:numId w:val="18"/>
        </w:numPr>
      </w:pPr>
      <w:r w:rsidRPr="00E110A2">
        <w:t>Die Wohnbauförderung als eines der wichtigsten Instrumente, um die Wohnkosten in einem leistbaren Rahmen zu halten, soll zukünftig wieder im Rahmen des Finanzausgleichs der Länder zweckgewidmet für die Errichtung neuen leistbaren Wohnraums zur Verfügung stehen.</w:t>
      </w:r>
    </w:p>
    <w:p w:rsidR="00335CDE" w:rsidRPr="00335CDE" w:rsidRDefault="00E110A2" w:rsidP="00E110A2">
      <w:pPr>
        <w:pStyle w:val="ZGBFlietext"/>
        <w:numPr>
          <w:ilvl w:val="1"/>
          <w:numId w:val="18"/>
        </w:numPr>
      </w:pPr>
      <w:r w:rsidRPr="00E110A2">
        <w:t xml:space="preserve">Durch eine neuerliche Zweckbindung der Überweisungen des Bundes an die Länder sowie der Rückflüsse aus den vergebenen Darlehen stünden in einem ersten Schritt 3 Mrd.  Euro für die Schaffung von leistbarem Wohnraum zur Verfügung. Die 1,78 Mrd.  Euro Bundesanteil sollen jährlich um den Anstieg der allgemeinen Teuerung erhöht werden, um die Wertbeständigkeit </w:t>
      </w:r>
      <w:r w:rsidRPr="00E110A2">
        <w:lastRenderedPageBreak/>
        <w:t xml:space="preserve">der Wohnbauförderungsmittel zu sichern. </w:t>
      </w:r>
      <w:proofErr w:type="spellStart"/>
      <w:r w:rsidRPr="00E110A2">
        <w:t>Weiters</w:t>
      </w:r>
      <w:proofErr w:type="spellEnd"/>
      <w:r w:rsidRPr="00E110A2">
        <w:t xml:space="preserve"> soll überprüft werden, ob eine zusätzliche Aufstockung des Bundesanteils in der Höhe der seit 1996 kumulierten Inflationsrate notwendig ist.</w:t>
      </w:r>
    </w:p>
    <w:p w:rsidR="00E110A2" w:rsidRDefault="00E110A2" w:rsidP="00E110A2">
      <w:pPr>
        <w:pStyle w:val="ZGBFlietext"/>
        <w:numPr>
          <w:ilvl w:val="1"/>
          <w:numId w:val="18"/>
        </w:numPr>
      </w:pPr>
      <w:r w:rsidRPr="00E110A2">
        <w:t>Diese Bundesgelder sollen vorrangig für den Bau von Wohnungen (also Objektförderung) verwendet werden. Dabei sind folgende Kriterien zu befolgen:</w:t>
      </w:r>
    </w:p>
    <w:p w:rsidR="00335CDE" w:rsidRPr="00335CDE" w:rsidRDefault="00335CDE" w:rsidP="00E110A2">
      <w:pPr>
        <w:pStyle w:val="ZGBFlietext"/>
        <w:numPr>
          <w:ilvl w:val="2"/>
          <w:numId w:val="18"/>
        </w:numPr>
      </w:pPr>
      <w:r w:rsidRPr="00335CDE">
        <w:t xml:space="preserve">Die Wohnbauförderung soll vorrangig für Mietwohnungen im städtischen Raum verwendet werden. Hier gibt es die größten Bedarfszuwachsraten. Jährlich sollen zusätzlich mindestens 10.000 leistbare Mietwohnungen gebaut werden. Auch der vermehrte Bau von kleineren Wohnungen ist wichtig, um die Leistbarkeit von Wohnen auch durch entsprechende Größen sicherzustellen. </w:t>
      </w:r>
    </w:p>
    <w:p w:rsidR="00335CDE" w:rsidRPr="00335CDE" w:rsidRDefault="00335CDE" w:rsidP="00A36209">
      <w:pPr>
        <w:pStyle w:val="ZGBFlietext"/>
        <w:numPr>
          <w:ilvl w:val="2"/>
          <w:numId w:val="18"/>
        </w:numPr>
      </w:pPr>
      <w:r w:rsidRPr="00335CDE">
        <w:t>Rund 2.000 bis 3.000 dieser jährlich neugebauten Mietwohnungen sollen an armutsgefährdete Personen vergeben werden. Für Personen mit Betreuungsbedarf sollte der Zugang zu leistbarem Wohnraum über eine Plattform organisiert sein, welche die Betreuung an externe Einrichtungen weitervergibt (siehe Punkt Maßnahmen fü</w:t>
      </w:r>
      <w:r w:rsidR="00E110A2">
        <w:t>r armutsgefährdete Menschen S. 5</w:t>
      </w:r>
      <w:r w:rsidRPr="00335CDE">
        <w:t>9).</w:t>
      </w:r>
    </w:p>
    <w:p w:rsidR="00335CDE" w:rsidRPr="00335CDE" w:rsidRDefault="00335CDE" w:rsidP="00A36209">
      <w:pPr>
        <w:pStyle w:val="ZGBFlietext"/>
        <w:numPr>
          <w:ilvl w:val="2"/>
          <w:numId w:val="18"/>
        </w:numPr>
      </w:pPr>
      <w:r w:rsidRPr="00335CDE">
        <w:t xml:space="preserve">Fördermittel für den Wohnungsneubau sollen in erster Linie für Projekte des öffentlichen und gemeinnützigen Wohnbaus gewährt werden, die langfristig auf Kostenmieten basieren. Nur so kann sichergestellt werden, dass die </w:t>
      </w:r>
      <w:proofErr w:type="spellStart"/>
      <w:r w:rsidRPr="00335CDE">
        <w:t>MieterInnen</w:t>
      </w:r>
      <w:proofErr w:type="spellEnd"/>
      <w:r w:rsidRPr="00335CDE">
        <w:t xml:space="preserve"> dieser Wohnungen nicht nach Ablauf der Förderungsdauer mit freien unüberprüfbaren Marktmieten belastet werden.</w:t>
      </w:r>
    </w:p>
    <w:p w:rsidR="00335CDE" w:rsidRPr="00335CDE" w:rsidRDefault="00335CDE" w:rsidP="00A36209">
      <w:pPr>
        <w:pStyle w:val="ZGBFlietext"/>
        <w:numPr>
          <w:ilvl w:val="2"/>
          <w:numId w:val="18"/>
        </w:numPr>
      </w:pPr>
      <w:r w:rsidRPr="00335CDE">
        <w:t xml:space="preserve">Die Förderung soll auch für innovative Wohnformen verwendet werden wie z.B. flexible Wohnformen, generationenübergreifendes Wohnen, </w:t>
      </w:r>
      <w:proofErr w:type="spellStart"/>
      <w:r w:rsidRPr="00335CDE">
        <w:t>Cohousing</w:t>
      </w:r>
      <w:proofErr w:type="spellEnd"/>
      <w:r w:rsidRPr="00335CDE">
        <w:t xml:space="preserve">, autofreie Siedlungen, </w:t>
      </w:r>
      <w:proofErr w:type="spellStart"/>
      <w:r w:rsidRPr="00335CDE">
        <w:t>Bikecities</w:t>
      </w:r>
      <w:proofErr w:type="spellEnd"/>
      <w:r w:rsidRPr="00335CDE">
        <w:t xml:space="preserve"> etc.</w:t>
      </w:r>
    </w:p>
    <w:p w:rsidR="00A36209" w:rsidRPr="00335CDE" w:rsidRDefault="00335CDE" w:rsidP="00A36209">
      <w:pPr>
        <w:pStyle w:val="ZGBFlietext"/>
        <w:numPr>
          <w:ilvl w:val="2"/>
          <w:numId w:val="18"/>
        </w:numPr>
      </w:pPr>
      <w:r w:rsidRPr="00335CDE">
        <w:t>Für die Vergabe der Förderung soll der Bau von Wohnungen in bereits an öffentliche Infrastruktur (Verkehr, Abwasser etc.) angeschlossenen Gebieten ein weiteres Kriterium sein.</w:t>
      </w:r>
    </w:p>
    <w:p w:rsidR="00A36209" w:rsidRDefault="00A36209" w:rsidP="00A36209">
      <w:pPr>
        <w:pStyle w:val="ZGBFlietext"/>
        <w:rPr>
          <w:u w:val="single"/>
        </w:rPr>
      </w:pPr>
    </w:p>
    <w:p w:rsidR="00335CDE" w:rsidRPr="00A36209" w:rsidRDefault="00335CDE" w:rsidP="00A36209">
      <w:pPr>
        <w:pStyle w:val="ZGBFlietext"/>
        <w:numPr>
          <w:ilvl w:val="0"/>
          <w:numId w:val="20"/>
        </w:numPr>
        <w:rPr>
          <w:u w:val="single"/>
        </w:rPr>
      </w:pPr>
      <w:r w:rsidRPr="00A36209">
        <w:rPr>
          <w:u w:val="single"/>
        </w:rPr>
        <w:t>Senkung der Kosten für den Neubau von Wohnungen</w:t>
      </w:r>
    </w:p>
    <w:p w:rsidR="00335CDE" w:rsidRPr="00335CDE" w:rsidRDefault="00E110A2" w:rsidP="00E110A2">
      <w:pPr>
        <w:pStyle w:val="ZGBFlietext"/>
        <w:ind w:left="708"/>
      </w:pPr>
      <w:r>
        <w:t>B</w:t>
      </w:r>
      <w:r w:rsidRPr="00E110A2">
        <w:t>auvorschriften, Kreditkosten oder Kosten für den Baugrund sind u.  a. Faktoren, die die Höhe von Wohnbaukosten und somit Mieten bzw. die Erschwinglichkeit von Eigenheimen beeinflussen. Um diese Kosten zu senken schlagen wir folgende Maßnahmen vor:</w:t>
      </w:r>
    </w:p>
    <w:p w:rsidR="00335CDE" w:rsidRPr="00A36209" w:rsidRDefault="00335CDE" w:rsidP="00E110A2">
      <w:pPr>
        <w:pStyle w:val="ZGBFlietext"/>
        <w:numPr>
          <w:ilvl w:val="1"/>
          <w:numId w:val="20"/>
        </w:numPr>
        <w:rPr>
          <w:u w:val="single"/>
        </w:rPr>
      </w:pPr>
      <w:r w:rsidRPr="00A36209">
        <w:rPr>
          <w:u w:val="single"/>
        </w:rPr>
        <w:t>Vereinfachung der Bauvorschriften</w:t>
      </w:r>
    </w:p>
    <w:p w:rsidR="00335CDE" w:rsidRPr="00335CDE" w:rsidRDefault="00E110A2" w:rsidP="00E110A2">
      <w:pPr>
        <w:pStyle w:val="ZGBFlietext"/>
        <w:numPr>
          <w:ilvl w:val="2"/>
          <w:numId w:val="20"/>
        </w:numPr>
      </w:pPr>
      <w:r w:rsidRPr="00E110A2">
        <w:t>Es gibt eine Reihe von verpflichtenden Vorgaben (z. B. in den Bereichen Stellplätze und Brandschutz), die kostenintensiv sind und mitunter auch nicht mehr den zukünftigen Entwicklungen gerecht werden. Eine Vereinfachung dieser Vorschriften kann substantielle Einsparungen nach sich ziehen.</w:t>
      </w:r>
    </w:p>
    <w:p w:rsidR="00335CDE" w:rsidRPr="00A36209" w:rsidRDefault="00335CDE" w:rsidP="00E110A2">
      <w:pPr>
        <w:pStyle w:val="ZGBFlietext"/>
        <w:numPr>
          <w:ilvl w:val="1"/>
          <w:numId w:val="20"/>
        </w:numPr>
        <w:rPr>
          <w:u w:val="single"/>
        </w:rPr>
      </w:pPr>
      <w:r w:rsidRPr="00A36209">
        <w:rPr>
          <w:u w:val="single"/>
        </w:rPr>
        <w:t xml:space="preserve">Einrichtung einer Bundeswohnbauagentur für eine günstige </w:t>
      </w:r>
      <w:proofErr w:type="spellStart"/>
      <w:r w:rsidRPr="00A36209">
        <w:rPr>
          <w:u w:val="single"/>
        </w:rPr>
        <w:t>Kofinanzierung</w:t>
      </w:r>
      <w:proofErr w:type="spellEnd"/>
      <w:r w:rsidRPr="00A36209">
        <w:rPr>
          <w:u w:val="single"/>
        </w:rPr>
        <w:t xml:space="preserve"> des geförderten Mietwohnbaus</w:t>
      </w:r>
    </w:p>
    <w:p w:rsidR="00E110A2" w:rsidRDefault="00E110A2" w:rsidP="00E110A2">
      <w:pPr>
        <w:pStyle w:val="ZGBFlietext"/>
        <w:ind w:left="1416"/>
      </w:pPr>
      <w:r>
        <w:t>Der geförderte Mietwohnungsbau ist auf langfristige Kredite angewiesen. Diese sind aktuell aus mehrerlei Gründen Mangelware. Erstens sind die Budgets der öffentlichen Hand belastet, was die Vergabe von ausreichenden Wohnbauförderungsdarlehen verunmöglicht. Zweitens vergeben die Banken außerhalb des Pfandbriefbereichs derzeit nur Kredite mit zu kurzen Laufzeiten und hohen Zinsaufschlägen. Gründe dafür sind das anhaltende Misstrauen am Interbankenmarkt sowie strengere Eigenkapitalerfordernisse im Rahmen des Regelwerks Basel III. Auch der Verkauf von Wohnbauanleihen durch die Wohnbaubanken ist im Zuge der Krise regelrecht eingebrochen.</w:t>
      </w:r>
    </w:p>
    <w:p w:rsidR="00335CDE" w:rsidRPr="00335CDE" w:rsidRDefault="00E110A2" w:rsidP="00E110A2">
      <w:pPr>
        <w:pStyle w:val="ZGBFlietext"/>
        <w:ind w:left="1416"/>
      </w:pPr>
      <w:r>
        <w:t xml:space="preserve">Gleichzeitig kann sich der Bund aber aktuell so günstig wie noch nie verschulden. Die Zinsen für zehnjährige Anleihen liegen weit unter der Inflationsrate. Der Bund sollte hier also einspringen und die </w:t>
      </w:r>
      <w:proofErr w:type="spellStart"/>
      <w:r>
        <w:t>Kofinanzierung</w:t>
      </w:r>
      <w:proofErr w:type="spellEnd"/>
      <w:r>
        <w:t xml:space="preserve"> von ausreichend leistbarem Wohnraum ermöglichen. Dazu wird die Gründung einer Bundeswohnbauagentur vorgeschlagen. Diese soll die äußerst günstigen Konditionen am Kapitalmarkt nützen und einen Investitionsimpuls im geförderten Neubau und in der Sanierung ermöglichen. Die Bundeswohnbauagentur nimmt Gelder zu den aktuell günstigen Konditionen am Kapitalmarkt auf und reicht sie in Form verzinster Darlehen direkt an die Wohnbauträger weiter. Die Verzinsung dieser Darlehen sollte sich an der Steigerung im Verbraucherpreisindex orientieren. Damit würde die Bundeswohnbauagentur </w:t>
      </w:r>
      <w:r>
        <w:lastRenderedPageBreak/>
        <w:t>bescheidene Gewinne erzielen, die ebenfalls zweckgebunden für den geförderten Wohnbau zu Verfügung stehen sollen.</w:t>
      </w:r>
    </w:p>
    <w:p w:rsidR="00335CDE" w:rsidRPr="00A36209" w:rsidRDefault="00335CDE" w:rsidP="00E110A2">
      <w:pPr>
        <w:pStyle w:val="ZGBFlietext"/>
        <w:numPr>
          <w:ilvl w:val="1"/>
          <w:numId w:val="20"/>
        </w:numPr>
        <w:rPr>
          <w:u w:val="single"/>
        </w:rPr>
      </w:pPr>
      <w:r w:rsidRPr="00A36209">
        <w:rPr>
          <w:u w:val="single"/>
        </w:rPr>
        <w:t>Sicherstellung des Zugangs zu leistbarem Baugrund</w:t>
      </w:r>
    </w:p>
    <w:p w:rsidR="00E110A2" w:rsidRDefault="00E110A2" w:rsidP="00E110A2">
      <w:pPr>
        <w:pStyle w:val="ZGBFlietext"/>
        <w:ind w:left="1416" w:firstLine="24"/>
      </w:pPr>
      <w:r w:rsidRPr="00E110A2">
        <w:t>Vor allem im städtischen Bereich – aber nicht nur – wird der Zugang zu leistbarem Baugrund immer schwieriger. Hier wären folgende Maßnahmen denkbar:</w:t>
      </w:r>
    </w:p>
    <w:p w:rsidR="00335CDE" w:rsidRPr="00335CDE" w:rsidRDefault="00335CDE" w:rsidP="00E110A2">
      <w:pPr>
        <w:pStyle w:val="ZGBFlietext"/>
        <w:numPr>
          <w:ilvl w:val="2"/>
          <w:numId w:val="20"/>
        </w:numPr>
      </w:pPr>
      <w:r w:rsidRPr="00335CDE">
        <w:t>Noch gezieltere Nutzung des kommunalen oder Bundesbodeneigentums für den sozialen Wohnbau (auch z. B. Kasernen, Eisenbahnanlagen)</w:t>
      </w:r>
    </w:p>
    <w:p w:rsidR="00335CDE" w:rsidRPr="00335CDE" w:rsidRDefault="00335CDE" w:rsidP="00E110A2">
      <w:pPr>
        <w:pStyle w:val="ZGBFlietext"/>
        <w:numPr>
          <w:ilvl w:val="2"/>
          <w:numId w:val="20"/>
        </w:numPr>
      </w:pPr>
      <w:r w:rsidRPr="00335CDE">
        <w:t xml:space="preserve">Einführung einer neuen </w:t>
      </w:r>
      <w:proofErr w:type="spellStart"/>
      <w:r w:rsidRPr="00335CDE">
        <w:t>Widmungskategorie</w:t>
      </w:r>
      <w:proofErr w:type="spellEnd"/>
      <w:r w:rsidRPr="00335CDE">
        <w:t xml:space="preserve"> – sogenannte Vorratsflächen – für den sozialen Wohnbau</w:t>
      </w:r>
    </w:p>
    <w:p w:rsidR="006738E5" w:rsidRDefault="00335CDE" w:rsidP="00A36209">
      <w:pPr>
        <w:pStyle w:val="ZGBFlietext"/>
        <w:numPr>
          <w:ilvl w:val="2"/>
          <w:numId w:val="20"/>
        </w:numPr>
      </w:pPr>
      <w:r w:rsidRPr="00335CDE">
        <w:t xml:space="preserve">Prüfung, ob im Rahmen von städtebaulichen Verträgen die sozialverträgliche Grundstücksnutzung verbessert werden kann. Im Falle einer Umwidmung von Ackerland zu Bauland sollte eine Gemeinde/Stadt z. B. einen Teil des </w:t>
      </w:r>
      <w:proofErr w:type="spellStart"/>
      <w:r w:rsidRPr="00335CDE">
        <w:t>widmungsbedingten</w:t>
      </w:r>
      <w:proofErr w:type="spellEnd"/>
      <w:r w:rsidRPr="00335CDE">
        <w:t xml:space="preserve"> Gewinns abschöpfen (etwa in Form der Nutzung eines Teils der Fläche für sozialen Wohnbau).</w:t>
      </w:r>
    </w:p>
    <w:p w:rsidR="006738E5" w:rsidRDefault="006738E5" w:rsidP="00A36209">
      <w:pPr>
        <w:pStyle w:val="ZGBManahme"/>
      </w:pPr>
    </w:p>
    <w:p w:rsidR="00A36209" w:rsidRPr="00A36209" w:rsidRDefault="00A36209" w:rsidP="00A36209">
      <w:pPr>
        <w:pStyle w:val="ZGBManahme"/>
      </w:pPr>
      <w:r w:rsidRPr="00A36209">
        <w:t>Leistbares Wohnen braucht ein neues Mietrecht</w:t>
      </w:r>
    </w:p>
    <w:p w:rsidR="00A36209" w:rsidRPr="00A36209" w:rsidRDefault="00A36209" w:rsidP="00A36209">
      <w:pPr>
        <w:pStyle w:val="ZGBFlietext"/>
      </w:pPr>
      <w:r w:rsidRPr="00A36209">
        <w:t>Menschen, die Wohnungen mieten, finden gegenwärtig – bei grober Betrachtung – drei Systeme vor:</w:t>
      </w:r>
    </w:p>
    <w:p w:rsidR="00E110A2" w:rsidRDefault="00E110A2" w:rsidP="00E110A2">
      <w:pPr>
        <w:pStyle w:val="ZGBFlietext"/>
        <w:numPr>
          <w:ilvl w:val="1"/>
          <w:numId w:val="20"/>
        </w:numPr>
      </w:pPr>
      <w:r>
        <w:t xml:space="preserve">den freien Wohnungsmarkt: dieser gilt beispielsweise für Mietgegenstände in nicht geförderten Neubauten, Dachbodenausbauten, Mietgegenstände im Wohnungseigentum, die in Bauten liegen, die nach 1945 errichtet wurden, aber auch für Ein- oder Zweiobjekthäuser. Die Mieten, die hier von den </w:t>
      </w:r>
      <w:proofErr w:type="spellStart"/>
      <w:r>
        <w:t>VermieterInnen</w:t>
      </w:r>
      <w:proofErr w:type="spellEnd"/>
      <w:r>
        <w:t xml:space="preserve"> vorgeschrieben werden, unterliegen nur geringen gesetzlichen Beschränkungen. </w:t>
      </w:r>
      <w:proofErr w:type="spellStart"/>
      <w:r>
        <w:t>VermieterInnen</w:t>
      </w:r>
      <w:proofErr w:type="spellEnd"/>
      <w:r>
        <w:t xml:space="preserve"> verlangen sogenannte „ortsübliche/marktübliche“ Mietpreise, die kaum überprüfbar sind. </w:t>
      </w:r>
    </w:p>
    <w:p w:rsidR="00E110A2" w:rsidRDefault="00E110A2" w:rsidP="00E110A2">
      <w:pPr>
        <w:pStyle w:val="ZGBFlietext"/>
        <w:numPr>
          <w:ilvl w:val="1"/>
          <w:numId w:val="20"/>
        </w:numPr>
      </w:pPr>
      <w:r>
        <w:t xml:space="preserve">den preisgeschützten Wohnungsmarkt (Vollanwendungsbereich des Mietrechtsgesetz – MRG): dazu zählen insbesondere jene Wohnungen, die vor 1945 gebaut wurden. Für diese Wohnungen gilt - von einigen Ausnahmen abgesehen - für die Mietzinsbildung das sogenannte Richtwertmietzinssystem, in dessen Rahmen der je nach Bundesland zulässige Richtwert sowie Zu- und Abschläge u.  a. nach Lage und Wohnungsausstattung festgelegt werden. </w:t>
      </w:r>
      <w:proofErr w:type="spellStart"/>
      <w:r>
        <w:t>MieterInnen</w:t>
      </w:r>
      <w:proofErr w:type="spellEnd"/>
      <w:r>
        <w:t xml:space="preserve"> dieser Wohnungen können die Zulässigkeit des vereinbarten Hauptmietzinses überprüfen lassen und gegebenenfalls eine Reduktion des Mietzinses rechtlich durchsetzen. Zuviel geleistete Mieten können zurückgefordert werden.</w:t>
      </w:r>
    </w:p>
    <w:p w:rsidR="00A36209" w:rsidRPr="00A36209" w:rsidRDefault="00E110A2" w:rsidP="00E110A2">
      <w:pPr>
        <w:pStyle w:val="ZGBFlietext"/>
        <w:numPr>
          <w:ilvl w:val="1"/>
          <w:numId w:val="20"/>
        </w:numPr>
      </w:pPr>
      <w:r>
        <w:t xml:space="preserve">den gemeinnützigen Wohnungsmarkt: dazu zählen Wohnungen von gemeinnützigen Bauvereinigungen, die dem </w:t>
      </w:r>
      <w:proofErr w:type="spellStart"/>
      <w:r>
        <w:t>Wohnungsgemeinützigkeitsgesetz</w:t>
      </w:r>
      <w:proofErr w:type="spellEnd"/>
      <w:r>
        <w:t xml:space="preserve"> (WGG) unterliegen und für die daher auch langfristig nur Kostenmieten verrechnet werden können.</w:t>
      </w:r>
    </w:p>
    <w:p w:rsidR="00A36209" w:rsidRPr="00A36209" w:rsidRDefault="00E110A2" w:rsidP="00A36209">
      <w:pPr>
        <w:pStyle w:val="ZGBFlietext"/>
      </w:pPr>
      <w:r w:rsidRPr="00E110A2">
        <w:t>Der Trend der letzten Jahre geht dahin, dass immer mehr Wohnungen nach den Spielregeln des freien Marktes vermietet werden und damit Wohnen zunehmend teurer wird. Der Trend zu befristeten Mietverträgen auch im geschützten privaten Wohnungsmarkt führt dazu, dass Menschen aus Angst vor der Nichtverlängerung des Mietvertrages weniger oft zu den zur Beilegung von Mietstreitigkeiten vorgesehenen Schlichtungsstellen gehen und die gesetzliche Zulässigkeit des vereinbarten Mietzinses überprüfen lassen.</w:t>
      </w:r>
    </w:p>
    <w:p w:rsidR="00E110A2" w:rsidRDefault="00E110A2" w:rsidP="00A36209">
      <w:pPr>
        <w:pStyle w:val="ZGBFlietext"/>
      </w:pPr>
    </w:p>
    <w:p w:rsidR="00A36209" w:rsidRPr="00E110A2" w:rsidRDefault="00A36209" w:rsidP="00A36209">
      <w:pPr>
        <w:pStyle w:val="ZGBFlietext"/>
        <w:rPr>
          <w:u w:val="single"/>
        </w:rPr>
      </w:pPr>
      <w:r w:rsidRPr="00E110A2">
        <w:rPr>
          <w:u w:val="single"/>
        </w:rPr>
        <w:t>Um Menschen, die Wohnungen mieten, den Zugang zu leistbarem Wohnen zu ermöglichen, braucht es daher folgende Reformmaßnahmen in diesem Bereich:</w:t>
      </w:r>
    </w:p>
    <w:p w:rsidR="00A36209" w:rsidRPr="00A36209" w:rsidRDefault="00A36209" w:rsidP="00A36209">
      <w:pPr>
        <w:pStyle w:val="ZGBFlietext"/>
      </w:pPr>
    </w:p>
    <w:p w:rsidR="00E110A2" w:rsidRPr="00E110A2"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t>Der Anwendungsbereich des Mietrechtsgesetzes und des Richtwertsystems ist auf den freien Markt auszudehnen. Dadurch könnte zukünftig gewährleistet werden, dass die Mietenhöhe wieder eingedämmt wird. Neu errichtete Wohnungen sollen nach der Refinanzierung der Errichtungskosten (das sind in der Regel 30 Jahre) automatisch dem Vollanwendungsbereich des Mietrechtsgesetzes und damit dem Richtwertsystem unterliegen. Würde man diese Regel z. B. 2015 einführen, dann würden im Wesentlichen alle Wohnungen, die vor 1984 errich</w:t>
      </w:r>
      <w:r>
        <w:rPr>
          <w:rFonts w:cs="MinionPro-Regular"/>
          <w:b w:val="0"/>
          <w:bCs w:val="0"/>
          <w:color w:val="000000" w:themeColor="text1"/>
          <w:sz w:val="22"/>
          <w:szCs w:val="22"/>
        </w:rPr>
        <w:t>tet wurden, dann bei der Neuver</w:t>
      </w:r>
      <w:r w:rsidRPr="00E110A2">
        <w:rPr>
          <w:rFonts w:cs="MinionPro-Regular"/>
          <w:b w:val="0"/>
          <w:bCs w:val="0"/>
          <w:color w:val="000000" w:themeColor="text1"/>
          <w:sz w:val="22"/>
          <w:szCs w:val="22"/>
        </w:rPr>
        <w:t xml:space="preserve">mietung in das Mietrechtsgesetz fallen. </w:t>
      </w:r>
    </w:p>
    <w:p w:rsidR="00E110A2" w:rsidRPr="00E110A2"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t xml:space="preserve">Der unbefristete Mietvertrag soll wieder der Regelmietvertrag werden. Die Möglichkeit der Befristung von Mietverträgen soll generell eingeschränkt werden. Befristete Mietverträge sollen nur unter bestimmten Kriterien zulässig sein. </w:t>
      </w:r>
      <w:proofErr w:type="spellStart"/>
      <w:r w:rsidRPr="00E110A2">
        <w:rPr>
          <w:rFonts w:cs="MinionPro-Regular"/>
          <w:b w:val="0"/>
          <w:bCs w:val="0"/>
          <w:color w:val="000000" w:themeColor="text1"/>
          <w:sz w:val="22"/>
          <w:szCs w:val="22"/>
        </w:rPr>
        <w:t>Weiters</w:t>
      </w:r>
      <w:proofErr w:type="spellEnd"/>
      <w:r w:rsidRPr="00E110A2">
        <w:rPr>
          <w:rFonts w:cs="MinionPro-Regular"/>
          <w:b w:val="0"/>
          <w:bCs w:val="0"/>
          <w:color w:val="000000" w:themeColor="text1"/>
          <w:sz w:val="22"/>
          <w:szCs w:val="22"/>
        </w:rPr>
        <w:t xml:space="preserve"> soll die Mindestbefristungsdauer von drei auf fünf Jahre angehoben werden, um so eine bessere soziale Integration der </w:t>
      </w:r>
      <w:proofErr w:type="spellStart"/>
      <w:r w:rsidRPr="00E110A2">
        <w:rPr>
          <w:rFonts w:cs="MinionPro-Regular"/>
          <w:b w:val="0"/>
          <w:bCs w:val="0"/>
          <w:color w:val="000000" w:themeColor="text1"/>
          <w:sz w:val="22"/>
          <w:szCs w:val="22"/>
        </w:rPr>
        <w:t>MieterInnen</w:t>
      </w:r>
      <w:proofErr w:type="spellEnd"/>
      <w:r w:rsidRPr="00E110A2">
        <w:rPr>
          <w:rFonts w:cs="MinionPro-Regular"/>
          <w:b w:val="0"/>
          <w:bCs w:val="0"/>
          <w:color w:val="000000" w:themeColor="text1"/>
          <w:sz w:val="22"/>
          <w:szCs w:val="22"/>
        </w:rPr>
        <w:t xml:space="preserve"> (insbesondere in ihr Wohnumfeld) gewährleisten zu können. </w:t>
      </w:r>
    </w:p>
    <w:p w:rsidR="00E110A2" w:rsidRPr="00E110A2"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lastRenderedPageBreak/>
        <w:t xml:space="preserve">Die Präklusivfrist zur Mietzinsüberprüfung ist abzuschaffen. Gegenwärtig gilt: Lässt ein/e </w:t>
      </w:r>
      <w:proofErr w:type="spellStart"/>
      <w:r w:rsidRPr="00E110A2">
        <w:rPr>
          <w:rFonts w:cs="MinionPro-Regular"/>
          <w:b w:val="0"/>
          <w:bCs w:val="0"/>
          <w:color w:val="000000" w:themeColor="text1"/>
          <w:sz w:val="22"/>
          <w:szCs w:val="22"/>
        </w:rPr>
        <w:t>MieterIn</w:t>
      </w:r>
      <w:proofErr w:type="spellEnd"/>
      <w:r w:rsidRPr="00E110A2">
        <w:rPr>
          <w:rFonts w:cs="MinionPro-Regular"/>
          <w:b w:val="0"/>
          <w:bCs w:val="0"/>
          <w:color w:val="000000" w:themeColor="text1"/>
          <w:sz w:val="22"/>
          <w:szCs w:val="22"/>
        </w:rPr>
        <w:t xml:space="preserve"> eines unbefristeten Mietverhältnisses den Mietzins nicht innerhalb von drei Jahren überprüfen, so erlischt die Möglichkeit dies zu tun. Ein unzulässig erhöhter Mietzins wird de facto saniert, eine Herabsetzung des Mietzinses ist danach nicht mehr möglich.</w:t>
      </w:r>
    </w:p>
    <w:p w:rsidR="00E110A2" w:rsidRPr="00E110A2"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t>Zu- und Abschläge sollen gesetzlich festgelegt und die Berechnung des Mietzinses bzw. die Mietzinsgestaltung transparent gemacht werden.</w:t>
      </w:r>
    </w:p>
    <w:p w:rsidR="00E110A2" w:rsidRPr="00E110A2"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t xml:space="preserve">Die Eintrittsrechte in Mietwohnungen sollen den aktuellen Familienformen angepasst werden (z. B. </w:t>
      </w:r>
      <w:proofErr w:type="spellStart"/>
      <w:r w:rsidRPr="00E110A2">
        <w:rPr>
          <w:rFonts w:cs="MinionPro-Regular"/>
          <w:b w:val="0"/>
          <w:bCs w:val="0"/>
          <w:color w:val="000000" w:themeColor="text1"/>
          <w:sz w:val="22"/>
          <w:szCs w:val="22"/>
        </w:rPr>
        <w:t>Patchworkfamilien</w:t>
      </w:r>
      <w:proofErr w:type="spellEnd"/>
      <w:r w:rsidRPr="00E110A2">
        <w:rPr>
          <w:rFonts w:cs="MinionPro-Regular"/>
          <w:b w:val="0"/>
          <w:bCs w:val="0"/>
          <w:color w:val="000000" w:themeColor="text1"/>
          <w:sz w:val="22"/>
          <w:szCs w:val="22"/>
        </w:rPr>
        <w:t>).</w:t>
      </w:r>
    </w:p>
    <w:p w:rsidR="00335CDE" w:rsidRDefault="00E110A2" w:rsidP="00E110A2">
      <w:pPr>
        <w:pStyle w:val="ZGBManahme"/>
        <w:numPr>
          <w:ilvl w:val="0"/>
          <w:numId w:val="35"/>
        </w:numPr>
        <w:rPr>
          <w:rFonts w:cs="MinionPro-Regular"/>
          <w:b w:val="0"/>
          <w:bCs w:val="0"/>
          <w:color w:val="000000" w:themeColor="text1"/>
          <w:sz w:val="22"/>
          <w:szCs w:val="22"/>
        </w:rPr>
      </w:pPr>
      <w:r w:rsidRPr="00E110A2">
        <w:rPr>
          <w:rFonts w:cs="MinionPro-Regular"/>
          <w:b w:val="0"/>
          <w:bCs w:val="0"/>
          <w:color w:val="000000" w:themeColor="text1"/>
          <w:sz w:val="22"/>
          <w:szCs w:val="22"/>
        </w:rPr>
        <w:t xml:space="preserve">Die Kosten eines Wohnungswechsels sind zu reduzieren. Die Höhe der Kaution soll gesetzlich maximal zwei Monatsmieten betragen. Die Maklerprovision soll vom Vermieter bezahlt werden, die </w:t>
      </w:r>
      <w:proofErr w:type="spellStart"/>
      <w:r w:rsidRPr="00E110A2">
        <w:rPr>
          <w:rFonts w:cs="MinionPro-Regular"/>
          <w:b w:val="0"/>
          <w:bCs w:val="0"/>
          <w:color w:val="000000" w:themeColor="text1"/>
          <w:sz w:val="22"/>
          <w:szCs w:val="22"/>
        </w:rPr>
        <w:t>Vergebührung</w:t>
      </w:r>
      <w:proofErr w:type="spellEnd"/>
      <w:r w:rsidRPr="00E110A2">
        <w:rPr>
          <w:rFonts w:cs="MinionPro-Regular"/>
          <w:b w:val="0"/>
          <w:bCs w:val="0"/>
          <w:color w:val="000000" w:themeColor="text1"/>
          <w:sz w:val="22"/>
          <w:szCs w:val="22"/>
        </w:rPr>
        <w:t xml:space="preserve"> von Mietverträgen soll abgeschafft werden. </w:t>
      </w:r>
      <w:proofErr w:type="spellStart"/>
      <w:r w:rsidRPr="00E110A2">
        <w:rPr>
          <w:rFonts w:cs="MinionPro-Regular"/>
          <w:b w:val="0"/>
          <w:bCs w:val="0"/>
          <w:color w:val="000000" w:themeColor="text1"/>
          <w:sz w:val="22"/>
          <w:szCs w:val="22"/>
        </w:rPr>
        <w:t>NeumieterInnen</w:t>
      </w:r>
      <w:proofErr w:type="spellEnd"/>
      <w:r w:rsidRPr="00E110A2">
        <w:rPr>
          <w:rFonts w:cs="MinionPro-Regular"/>
          <w:b w:val="0"/>
          <w:bCs w:val="0"/>
          <w:color w:val="000000" w:themeColor="text1"/>
          <w:sz w:val="22"/>
          <w:szCs w:val="22"/>
        </w:rPr>
        <w:t xml:space="preserve"> sollen nicht mit Betriebskostennachzahlungen für Zeiträume, in denen sie nicht </w:t>
      </w:r>
      <w:proofErr w:type="spellStart"/>
      <w:r w:rsidRPr="00E110A2">
        <w:rPr>
          <w:rFonts w:cs="MinionPro-Regular"/>
          <w:b w:val="0"/>
          <w:bCs w:val="0"/>
          <w:color w:val="000000" w:themeColor="text1"/>
          <w:sz w:val="22"/>
          <w:szCs w:val="22"/>
        </w:rPr>
        <w:t>MieterInnen</w:t>
      </w:r>
      <w:proofErr w:type="spellEnd"/>
      <w:r w:rsidRPr="00E110A2">
        <w:rPr>
          <w:rFonts w:cs="MinionPro-Regular"/>
          <w:b w:val="0"/>
          <w:bCs w:val="0"/>
          <w:color w:val="000000" w:themeColor="text1"/>
          <w:sz w:val="22"/>
          <w:szCs w:val="22"/>
        </w:rPr>
        <w:t xml:space="preserve"> waren, belastet werden.</w:t>
      </w:r>
    </w:p>
    <w:p w:rsidR="00E110A2" w:rsidRPr="00335CDE" w:rsidRDefault="00E110A2" w:rsidP="00E110A2">
      <w:pPr>
        <w:pStyle w:val="ZGBManahme"/>
      </w:pPr>
    </w:p>
    <w:p w:rsidR="00A36209" w:rsidRDefault="00A36209" w:rsidP="00A36209">
      <w:pPr>
        <w:pStyle w:val="ZGBManahme"/>
      </w:pPr>
      <w:r w:rsidRPr="00A36209">
        <w:t xml:space="preserve">Leistbares Wohnen braucht Maßnahmen für armutsgefährdete Menschen </w:t>
      </w:r>
    </w:p>
    <w:p w:rsidR="00E110A2" w:rsidRDefault="00E110A2" w:rsidP="00E110A2">
      <w:pPr>
        <w:pStyle w:val="ZGBFlietext"/>
        <w:ind w:left="708"/>
      </w:pPr>
      <w:r>
        <w:t xml:space="preserve">Leistbares Wohnen braucht in erster Linie genügend Wohnungen bzw. ein Mietrecht, welches vor zu hohen Mieten schützt. Insofern ist die Förderung des Wohnbaus – die sogenannte Objektförderung – und auch die Reform des Mietrechts zentral, um die derzeitige Lage zu entspannen und langfristig das Grundrecht auf Wohnen zu garantieren. Menschen, die durch die derzeitigen Rahmenbedingungen am Wohnungsmarkt diskriminiert oder ausgeschlossen werden, benötigen darüber hinaus spezielle Maßnahmen um (wieder) eigenständig wohnen zu können: </w:t>
      </w:r>
    </w:p>
    <w:p w:rsidR="00E110A2" w:rsidRDefault="00E110A2" w:rsidP="00E110A2">
      <w:pPr>
        <w:pStyle w:val="ZGBFlietext"/>
        <w:ind w:left="708"/>
      </w:pPr>
    </w:p>
    <w:p w:rsidR="00E110A2" w:rsidRPr="00E110A2" w:rsidRDefault="00E110A2" w:rsidP="00E110A2">
      <w:pPr>
        <w:pStyle w:val="ZGBFlietext"/>
        <w:ind w:left="708"/>
        <w:rPr>
          <w:b/>
          <w:u w:val="single"/>
        </w:rPr>
      </w:pPr>
      <w:r w:rsidRPr="00E110A2">
        <w:rPr>
          <w:b/>
          <w:u w:val="single"/>
        </w:rPr>
        <w:t>Vergabe von Wohnungen an benachteiligte Menschen</w:t>
      </w:r>
    </w:p>
    <w:p w:rsidR="00E110A2" w:rsidRDefault="00E110A2" w:rsidP="00E110A2">
      <w:pPr>
        <w:pStyle w:val="ZGBFlietext"/>
        <w:ind w:left="708"/>
      </w:pPr>
      <w:r>
        <w:t>Durch die verpflichtende Vergabe von geförderten Mietwohnungen an benachteiligte Menschen mit Betreuungsbedarf werden strukturelle Benachteiligungen entschärft und ein selbstbestimmtes Wohnen ermöglicht. Neben armutsgefährdeten Menschen wäre eine solche Vergabe auch für Menschen mit Behinderung oder Menschen, die aus der Haft entlassen wurden, hilfreich. Es ist daher ein Vergabesystem zu entwickeln, welches benachteiligten Menschen ein Wohnen in der eigenen Wohnung ermöglicht. Wenn Betreuungsbedarf besteht, sollte eine individuelle Betreuung von externen Einrichtungen gewährleistet werden.</w:t>
      </w:r>
    </w:p>
    <w:p w:rsidR="00E110A2" w:rsidRDefault="00E110A2" w:rsidP="00E110A2">
      <w:pPr>
        <w:pStyle w:val="ZGBFlietext"/>
        <w:ind w:left="708"/>
      </w:pPr>
    </w:p>
    <w:p w:rsidR="00E110A2" w:rsidRPr="00E110A2" w:rsidRDefault="00E110A2" w:rsidP="00E110A2">
      <w:pPr>
        <w:pStyle w:val="ZGBFlietext"/>
        <w:ind w:left="708"/>
        <w:rPr>
          <w:u w:val="single"/>
        </w:rPr>
      </w:pPr>
      <w:r w:rsidRPr="00E110A2">
        <w:rPr>
          <w:u w:val="single"/>
        </w:rPr>
        <w:t>Eine Harmonisierung der Förderungen im Bereich der Wohnbeihilfen, Mietbeihilfen und bedarfsorientierter Mindestsicherung</w:t>
      </w:r>
    </w:p>
    <w:p w:rsidR="00E110A2" w:rsidRDefault="00E110A2" w:rsidP="00E110A2">
      <w:pPr>
        <w:pStyle w:val="ZGBFlietext"/>
        <w:ind w:left="708"/>
      </w:pPr>
      <w:r>
        <w:t>Für die Subjektförderung sollen für das gesamte Bundesgebiet einheitliche Förder-, Vergabe- und Finanzierungskriterien erarbeitet werden, die sich an folgenden Prinzipien orientieren:</w:t>
      </w:r>
    </w:p>
    <w:p w:rsidR="00E110A2" w:rsidRDefault="00E110A2" w:rsidP="00E110A2">
      <w:pPr>
        <w:pStyle w:val="ZGBFlietext"/>
        <w:ind w:left="708"/>
      </w:pPr>
      <w:r>
        <w:t xml:space="preserve">Subjektförderung soll dann gewährt werden, wenn die Befriedigung der grundlegenden Bedürfnisse gefährdet ist, d. h. nach Abzug der Wohnkosten (Miete inkl. </w:t>
      </w:r>
      <w:proofErr w:type="spellStart"/>
      <w:r>
        <w:t>USt</w:t>
      </w:r>
      <w:proofErr w:type="spellEnd"/>
      <w:r>
        <w:t>, Heiz- und Stromkosten, Betriebskosten) müssen einer Person pro Monat noch 600 Euro zur Verfügung stehen.</w:t>
      </w:r>
    </w:p>
    <w:p w:rsidR="00E110A2" w:rsidRDefault="00E110A2" w:rsidP="00E110A2">
      <w:pPr>
        <w:pStyle w:val="ZGBFlietext"/>
        <w:ind w:left="708"/>
      </w:pPr>
      <w:r>
        <w:t xml:space="preserve">Die Höhe der Wohnbeihilfe soll sich an den realen Wohnkosten orientieren und sicherstellen, dass die Finanzierung eines angemessenen Wohnbedarfs möglich ist. </w:t>
      </w:r>
    </w:p>
    <w:p w:rsidR="00E110A2" w:rsidRDefault="00E110A2" w:rsidP="00E110A2">
      <w:pPr>
        <w:pStyle w:val="ZGBFlietext"/>
        <w:ind w:left="708"/>
      </w:pPr>
      <w:r>
        <w:t>Die einmalige Förderung „Hilfe in besonderen Lebenslagen“ muss die realen Anmietungskosten (Kaution, Instandsetzung usw.) abdecken, um eine wesentliche Hürde in der Wohnversorgung abmildern zu können (siehe konkrete Reformvorschläge im Kapitel „Armutsprävention statt Almosen“)</w:t>
      </w:r>
    </w:p>
    <w:p w:rsidR="00E110A2" w:rsidRDefault="00E110A2" w:rsidP="00E110A2">
      <w:pPr>
        <w:pStyle w:val="ZGBFlietext"/>
        <w:ind w:left="708"/>
      </w:pPr>
    </w:p>
    <w:p w:rsidR="00E110A2" w:rsidRPr="00E110A2" w:rsidRDefault="00E110A2" w:rsidP="00E110A2">
      <w:pPr>
        <w:pStyle w:val="ZGBFlietext"/>
        <w:ind w:left="708"/>
        <w:rPr>
          <w:u w:val="single"/>
        </w:rPr>
      </w:pPr>
      <w:r w:rsidRPr="00E110A2">
        <w:rPr>
          <w:u w:val="single"/>
        </w:rPr>
        <w:t>Der Ausbau der Delogierungsprävention und eine erhebliche Reduzierung der Gerichtskosten im Falle einer Delogierung</w:t>
      </w:r>
    </w:p>
    <w:p w:rsidR="00E110A2" w:rsidRDefault="00E110A2" w:rsidP="00E110A2">
      <w:pPr>
        <w:pStyle w:val="ZGBFlietext"/>
        <w:ind w:left="708"/>
      </w:pPr>
      <w:r>
        <w:t xml:space="preserve">Um zu verhindern, dass armutsgefährdete Personen delogiert werden und mitunter dadurch auch günstige Mietwohnungen verlassen müssen, ist die Delogierungsprävention auszubauen. Es braucht ein flächendeckendes Angebot und in einem ersten Schritt auch die Entwicklung eines Modells, wie z. B. gemeinnützige Wohnbaugesellschaften und </w:t>
      </w:r>
      <w:proofErr w:type="spellStart"/>
      <w:r>
        <w:t>VermieterInnen</w:t>
      </w:r>
      <w:proofErr w:type="spellEnd"/>
      <w:r>
        <w:t xml:space="preserve"> mit Delogierungseinrichtungen und sozialen Organisationen außergerichtlich kooperieren können. Ebenso sind die Gerichtsgebühren bei Delogierungen erheblich zu reduzieren, wenn möglich sogar ganz zu streichen, um ohnehin armutsgefährdeten Personen nicht weitere Kosten aufzubürden.</w:t>
      </w:r>
    </w:p>
    <w:p w:rsidR="00E110A2" w:rsidRDefault="00E110A2" w:rsidP="00E110A2">
      <w:pPr>
        <w:pStyle w:val="ZGBFlietext"/>
        <w:ind w:left="708"/>
      </w:pPr>
    </w:p>
    <w:p w:rsidR="00E110A2" w:rsidRPr="00E110A2" w:rsidRDefault="00E110A2" w:rsidP="00E110A2">
      <w:pPr>
        <w:pStyle w:val="ZGBFlietext"/>
        <w:ind w:left="708"/>
        <w:rPr>
          <w:u w:val="single"/>
        </w:rPr>
      </w:pPr>
      <w:r w:rsidRPr="00E110A2">
        <w:rPr>
          <w:u w:val="single"/>
        </w:rPr>
        <w:t>Maßnahmenpaket gegen Energiearmut</w:t>
      </w:r>
    </w:p>
    <w:p w:rsidR="00E110A2" w:rsidRDefault="00E110A2" w:rsidP="00E110A2">
      <w:pPr>
        <w:pStyle w:val="ZGBFlietext"/>
        <w:ind w:left="708"/>
      </w:pPr>
      <w:r>
        <w:lastRenderedPageBreak/>
        <w:t xml:space="preserve">2011 waren rund 219.000 Personen von Energiearmut betroffen, d. h. sie können sich eine angemessen warm gehaltene Wohnung nicht mehr leisten (Quelle: EU-SILC-Zahlen (SILC = Statistik über Einkommens- und Lebensbedingungen). Österreichische Armuts- und </w:t>
      </w:r>
      <w:proofErr w:type="spellStart"/>
      <w:r>
        <w:t>EnergieexpertInnen</w:t>
      </w:r>
      <w:proofErr w:type="spellEnd"/>
      <w:r>
        <w:t xml:space="preserve"> wie z. B. die e-Control vermuten, dass diese Zahl weitaus höher ist, da die bisherigen Berechnungsansätze unzureichend sind, um Energiearmut angemessen zu erfassen. Für jene Menschen mit niedrigem Einkommen bzw. von Armut betroffene Menschen (z. B. </w:t>
      </w:r>
      <w:proofErr w:type="spellStart"/>
      <w:r>
        <w:t>MindestpensionsbezieherInnen</w:t>
      </w:r>
      <w:proofErr w:type="spellEnd"/>
      <w:r>
        <w:t xml:space="preserve">, </w:t>
      </w:r>
      <w:proofErr w:type="spellStart"/>
      <w:r>
        <w:t>MindestsicherungsbezieherInnen</w:t>
      </w:r>
      <w:proofErr w:type="spellEnd"/>
      <w:r>
        <w:t xml:space="preserve"> oder Arbeitsuchende) braucht es ein spezielles Maßnahmenpaket gegen Energiearmut. Je nach Bedarf kann das eine der folgenden Maßnahmen sein: sozial gestaffelte Mietzinsbeihilfen, sozial gestaffelte Sanierungsförderung, geförderte Kredite/Zuschüsse/Mietzinsbeihilfen.</w:t>
      </w:r>
    </w:p>
    <w:p w:rsidR="00E935B0" w:rsidRDefault="00E110A2" w:rsidP="00E110A2">
      <w:pPr>
        <w:pStyle w:val="ZGBFlietext"/>
        <w:ind w:left="708"/>
      </w:pPr>
      <w:r>
        <w:t xml:space="preserve">Mit jährlich rund 100 Mio. Euro ist eine Förderung von durchschnittlich 330 Euro pro </w:t>
      </w:r>
      <w:proofErr w:type="gramStart"/>
      <w:r>
        <w:t>betroffener</w:t>
      </w:r>
      <w:proofErr w:type="gramEnd"/>
      <w:r>
        <w:t xml:space="preserve"> Person und pro Jahr möglich.</w:t>
      </w:r>
    </w:p>
    <w:p w:rsidR="00053152" w:rsidRDefault="00053152" w:rsidP="00E110A2">
      <w:pPr>
        <w:pStyle w:val="ZGBFlietext"/>
        <w:ind w:left="708"/>
      </w:pPr>
    </w:p>
    <w:p w:rsidR="005A5AB7" w:rsidRDefault="005A5AB7" w:rsidP="00A36209">
      <w:pPr>
        <w:pStyle w:val="ZGBFlietext"/>
        <w:ind w:left="708"/>
      </w:pPr>
    </w:p>
    <w:p w:rsidR="00E935B0" w:rsidRDefault="00E935B0" w:rsidP="009A6654">
      <w:pPr>
        <w:pStyle w:val="berschrift2"/>
      </w:pPr>
      <w:bookmarkStart w:id="19" w:name="_Toc406072762"/>
      <w:r>
        <w:t>Ein Budget für den Menschenschutz</w:t>
      </w:r>
      <w:bookmarkEnd w:id="19"/>
    </w:p>
    <w:p w:rsidR="00E935B0" w:rsidRPr="00E935B0" w:rsidRDefault="00E935B0" w:rsidP="00E935B0">
      <w:pPr>
        <w:pStyle w:val="ZGBEinleitung"/>
      </w:pPr>
    </w:p>
    <w:p w:rsidR="00E110A2" w:rsidRDefault="00E110A2" w:rsidP="00E110A2">
      <w:pPr>
        <w:pStyle w:val="ZGBEinleitung"/>
      </w:pPr>
      <w:r>
        <w:t xml:space="preserve">Das Recht auf Schutz vor Verfolgung und vor lebensbedrohlichen Situationen gehört zu den wichtigsten Menschenrechten. Diese Schutzrechte betreffen alle Menschen, auch diejenigen, die gerade in der glücklichen Situation sind, sie nicht in Anspruch nehmen zu müssen. Viele </w:t>
      </w:r>
      <w:proofErr w:type="spellStart"/>
      <w:r>
        <w:t>ÖsterreicherInnen</w:t>
      </w:r>
      <w:proofErr w:type="spellEnd"/>
      <w:r>
        <w:t xml:space="preserve"> haben davon profitiert, dass es Länder gab, die ihnen Schutz gewährt haben, als sie vor dem nationalsozialistischen Regime fliehen mussten. Heute gehört Österreich zu den Ländern, die demokratisch soweit gefestigt sind, dass keine Menschen aus dem Land fliehen müssen, sondern Menschen hier Schutz suchen.</w:t>
      </w:r>
    </w:p>
    <w:p w:rsidR="00E110A2" w:rsidRDefault="00E110A2" w:rsidP="00E110A2">
      <w:pPr>
        <w:pStyle w:val="ZGBEinleitung"/>
      </w:pPr>
      <w:r>
        <w:t xml:space="preserve">Als eines der reichsten Länder der Welt hat Österreich nicht nur die Pflicht, sondern auch die Möglichkeiten, Schutzsuchenden eine menschenwürdige Lebensperspektive zu bieten und das Zusammenleben der Menschen zu fördern. In den letzten Jahren ist der Menschenschutz allerdings ins Hintertreffen geraten. Es wurden Angstkampagnen gefahren, Asylsuchende zur „Belastung“ erklärt und bei der Beratung und Versorgung von Asylsuchenden gekürzt. Die Förderung der Chancen und Perspektiven (Stichwort „Integration“) von Asylsuchenden wurde blockiert, obwohl viele der Betroffenen dauerhaft in Österreich bleiben. Die Konsequenz der mehr auf Abwehr denn auf Aufnahme gerichteten Asylpolitik sind hohe Folgekosten sowohl für die betroffenen Menschen als auch für den Staat Österreich. Die Beteiligung an </w:t>
      </w:r>
      <w:proofErr w:type="spellStart"/>
      <w:r>
        <w:t>Resettlement</w:t>
      </w:r>
      <w:proofErr w:type="spellEnd"/>
      <w:r>
        <w:t xml:space="preserve">-Aktionen der UNO (d.  h. Neuansiedlung von anerkannten Flüchtlingen aus Flüchtlingslagern in stabilen Ländern) sollen weitere tausend folgen. </w:t>
      </w:r>
    </w:p>
    <w:p w:rsidR="00E935B0" w:rsidRDefault="00E110A2" w:rsidP="00E110A2">
      <w:pPr>
        <w:pStyle w:val="ZGBEinleitung"/>
      </w:pPr>
      <w:r>
        <w:t>Investitionen in den Menschenschutz - und damit in die Zukunft von Menschen - sind ein Gewinn für alle. Es braucht daher zusätzliche Mittel für den Schutz und die Perspektiven dieser Menschen.</w:t>
      </w:r>
    </w:p>
    <w:p w:rsidR="00E110A2" w:rsidRDefault="00E110A2" w:rsidP="00E110A2">
      <w:pPr>
        <w:pStyle w:val="ZGBEinleitung"/>
      </w:pPr>
    </w:p>
    <w:p w:rsidR="00E935B0" w:rsidRDefault="00E935B0" w:rsidP="00E935B0">
      <w:pPr>
        <w:pStyle w:val="ZGBManahme"/>
      </w:pPr>
      <w:r w:rsidRPr="00E935B0">
        <w:t>Ausreichende Grundversorgung von Asylsuchenden</w:t>
      </w:r>
    </w:p>
    <w:p w:rsidR="00E935B0" w:rsidRDefault="00E110A2" w:rsidP="00E935B0">
      <w:pPr>
        <w:pStyle w:val="ZGBFlietext"/>
      </w:pPr>
      <w:r w:rsidRPr="00E110A2">
        <w:t>Asylsuchenden soll während ihrer gesamten Aufenthaltsdauer in Österreich ein menschenwürdiges Leben gewährt werden, egal, ob sie in einer betreuten Wohneinrichtung untergebracht sind oder ob sie privat wohnen. Das ist derzeit nicht gewährleistet. Die von Anfang an niedrig angesetzten Mittel für die Grundversorgung wurden 8 Jahre lang nicht valorisiert und erst 2012 leicht angehoben. Immer weniger Asylsuchende können es sich daher überhaupt noch leisten, privat zu wohnen, und dort, wo sie in betreuten Wohneinrichtungen untergebracht sind, herrscht vielfach Mangelversorgung. Daher braucht es eine substantielle Aufstockung der Mittel zur Sicherung menschenwürdiger Lebensverhältnisse von Asylsuchenden. Wir veranschlagen dafür 65 Mio. Euro.</w:t>
      </w:r>
    </w:p>
    <w:p w:rsidR="00E110A2" w:rsidRDefault="00E110A2" w:rsidP="00E935B0">
      <w:pPr>
        <w:pStyle w:val="ZGBFlietext"/>
      </w:pPr>
    </w:p>
    <w:p w:rsidR="00E935B0" w:rsidRDefault="00E935B0" w:rsidP="00E935B0">
      <w:pPr>
        <w:pStyle w:val="ZGBManahme"/>
      </w:pPr>
      <w:r w:rsidRPr="00E935B0">
        <w:t>Flächendeckende qualitativ hochwertige Rechtsberatung und Rechtsvertretung</w:t>
      </w:r>
    </w:p>
    <w:p w:rsidR="00E935B0" w:rsidRDefault="00E110A2" w:rsidP="00E935B0">
      <w:pPr>
        <w:pStyle w:val="ZGBFlietext"/>
      </w:pPr>
      <w:r w:rsidRPr="00E110A2">
        <w:t xml:space="preserve">Menschen </w:t>
      </w:r>
      <w:proofErr w:type="gramStart"/>
      <w:r w:rsidRPr="00E110A2">
        <w:t>müssen</w:t>
      </w:r>
      <w:proofErr w:type="gramEnd"/>
      <w:r w:rsidRPr="00E110A2">
        <w:t xml:space="preserve"> die Möglichkeit haben, zu ihrem Recht zu kommen, und dürfen nicht in einem immer undurchschaubarer werdenden Gesetzes- und Verfahrens-​</w:t>
      </w:r>
      <w:proofErr w:type="spellStart"/>
      <w:r w:rsidRPr="00E110A2">
        <w:t>dschungel</w:t>
      </w:r>
      <w:proofErr w:type="spellEnd"/>
      <w:r w:rsidRPr="00E110A2">
        <w:t xml:space="preserve"> hilflos alleine gelassen werden. Das ist derzeit jedoch vielfach der Fall. Obwohl sogar </w:t>
      </w:r>
      <w:proofErr w:type="spellStart"/>
      <w:r w:rsidRPr="00E110A2">
        <w:t>SpezialistInnen</w:t>
      </w:r>
      <w:proofErr w:type="spellEnd"/>
      <w:r w:rsidRPr="00E110A2">
        <w:t xml:space="preserve"> angesichts der Komplexität der Materie inzwischen große Probleme haben, sich im Asylbereich zurechtzufinden, wird Asylsuchenden nur in sehr eingeschränktem Ausmaß Rechtsberatung und Rechtsvertretung im Asylverfahren zur Seite gestellt. Damit werden die österreichische Rechtsstaatlichkeit und auch europarechtliche Verfahrensgarantien untergraben. Zur Sicherung der Rechtsstaatlichkeit für Asylsuchende veranschlagen wir 12 Mio. Euro.</w:t>
      </w:r>
    </w:p>
    <w:p w:rsidR="006738E5" w:rsidRDefault="006738E5" w:rsidP="00E935B0">
      <w:pPr>
        <w:pStyle w:val="ZGBManahme"/>
      </w:pPr>
    </w:p>
    <w:p w:rsidR="00E935B0" w:rsidRDefault="00E935B0" w:rsidP="00E935B0">
      <w:pPr>
        <w:pStyle w:val="ZGBManahme"/>
      </w:pPr>
      <w:r w:rsidRPr="00E935B0">
        <w:lastRenderedPageBreak/>
        <w:t>Bildungs- und Sprachkurse für Asylsuchende</w:t>
      </w:r>
    </w:p>
    <w:p w:rsidR="00E935B0" w:rsidRDefault="00E110A2" w:rsidP="00E935B0">
      <w:pPr>
        <w:pStyle w:val="ZGBManahme"/>
        <w:rPr>
          <w:rFonts w:cs="MinionPro-Regular"/>
          <w:b w:val="0"/>
          <w:bCs w:val="0"/>
          <w:color w:val="000000" w:themeColor="text1"/>
          <w:sz w:val="22"/>
          <w:szCs w:val="22"/>
        </w:rPr>
      </w:pPr>
      <w:r w:rsidRPr="00E110A2">
        <w:rPr>
          <w:rFonts w:cs="MinionPro-Regular"/>
          <w:b w:val="0"/>
          <w:bCs w:val="0"/>
          <w:color w:val="000000" w:themeColor="text1"/>
          <w:sz w:val="22"/>
          <w:szCs w:val="22"/>
        </w:rPr>
        <w:t xml:space="preserve">Um </w:t>
      </w:r>
      <w:proofErr w:type="spellStart"/>
      <w:r w:rsidRPr="00E110A2">
        <w:rPr>
          <w:rFonts w:cs="MinionPro-Regular"/>
          <w:b w:val="0"/>
          <w:bCs w:val="0"/>
          <w:color w:val="000000" w:themeColor="text1"/>
          <w:sz w:val="22"/>
          <w:szCs w:val="22"/>
        </w:rPr>
        <w:t>Dequalifizierung</w:t>
      </w:r>
      <w:proofErr w:type="spellEnd"/>
      <w:r w:rsidRPr="00E110A2">
        <w:rPr>
          <w:rFonts w:cs="MinionPro-Regular"/>
          <w:b w:val="0"/>
          <w:bCs w:val="0"/>
          <w:color w:val="000000" w:themeColor="text1"/>
          <w:sz w:val="22"/>
          <w:szCs w:val="22"/>
        </w:rPr>
        <w:t xml:space="preserve"> und Bildungsverlust zu vermeiden und Weiterbildung und Weiterqualifizierung von Asylsuchenden zu fördern, braucht es ein kostenloses Angebot an Bildungs- und Sprachkursen. Wenn Asylsuchende von Bildungs- und Sprachkursangeboten ausgeschlossen sind, weil sie sich diese Kurse nicht leisten können, ist eine der wesentlichsten Voraussetzungen für eine erfolgreiche „Integration“ nicht gegeben. Die Folgekosten des verwehrten Zugangs zu Bildungsangeboten sind enorm hoch. Daher veranschlagen wir 1,5 Mio. Euro an zusätzlichen Mitteln für Fördermaßnahmen für Asylsuchende.</w:t>
      </w:r>
    </w:p>
    <w:p w:rsidR="00E110A2" w:rsidRDefault="00E110A2" w:rsidP="00E935B0">
      <w:pPr>
        <w:pStyle w:val="ZGBManahme"/>
      </w:pPr>
    </w:p>
    <w:p w:rsidR="00E935B0" w:rsidRDefault="00E935B0" w:rsidP="00E935B0">
      <w:pPr>
        <w:pStyle w:val="ZGBManahme"/>
      </w:pPr>
      <w:r w:rsidRPr="00E935B0">
        <w:t>Individuelle Perspektivenförderung für Asylberechtigte und subsidiär</w:t>
      </w:r>
      <w:r w:rsidR="00E110A2">
        <w:rPr>
          <w:rStyle w:val="Funotenzeichen"/>
        </w:rPr>
        <w:footnoteReference w:id="4"/>
      </w:r>
      <w:r w:rsidR="00E110A2">
        <w:t xml:space="preserve"> </w:t>
      </w:r>
      <w:r w:rsidRPr="00E935B0">
        <w:t>Schutzberechtigte</w:t>
      </w:r>
    </w:p>
    <w:p w:rsidR="00E110A2" w:rsidRDefault="00BC78E2" w:rsidP="00E935B0">
      <w:pPr>
        <w:pStyle w:val="ZGBFlietext"/>
      </w:pPr>
      <w:r w:rsidRPr="00BC78E2">
        <w:t>Wer den Status des/der Asylberechtigten bzw. subsidiär Schutzberechtigten zuerkannt bekommen hat, soll die Möglichkeit einer individuellen Förderung erhalten, die den betroffenen Menschen den Schritt in die Selbsterhaltungsfähigkeit erleichtert bzw. ermöglicht. Dies betrifft pro Jahr etwa 2.500 Asylberechtigte (exklusive der schulpflichtigen Kinder) sowie 1.500 subsidiär Schutzberechtigte (ebenfalls exklusive Kinder). Dafür veranschlagen wir 4 Mio. Euro. Diese Summe (ebenso wie die Summe für die Grundversorgungszahlungen) könnte deutlich geringer ausfallen, wenn Asylsuchende spätestens 6 Monate nach Asylantragstellung vollen Zugang zum österreichischen Arbeitsmarkt und damit die Chance auf Selbsterhaltung hätten.</w:t>
      </w:r>
    </w:p>
    <w:p w:rsidR="00BC78E2" w:rsidRDefault="00BC78E2" w:rsidP="00E935B0">
      <w:pPr>
        <w:pStyle w:val="ZGBFlietext"/>
      </w:pPr>
    </w:p>
    <w:p w:rsidR="00E935B0" w:rsidRPr="00E935B0" w:rsidRDefault="00E935B0" w:rsidP="00E935B0">
      <w:pPr>
        <w:pStyle w:val="ZGBManahme"/>
      </w:pPr>
      <w:r w:rsidRPr="00E935B0">
        <w:t>Verbesserte psychosoziale bzw. psychotherapeutische Betreuung</w:t>
      </w:r>
    </w:p>
    <w:p w:rsidR="00E935B0" w:rsidRDefault="00BC78E2" w:rsidP="00E935B0">
      <w:pPr>
        <w:pStyle w:val="ZGBFlietext"/>
      </w:pPr>
      <w:r w:rsidRPr="00BC78E2">
        <w:t>Viele Flüchtlinge sind aufgrund der Situation, der sie im Herkunftsland ausgesetzt waren, aber auch aufgrund der strapaziösen und oft gefährlichen Flucht traumatisiert. Sie brauchen psychosoziale und psychotherapeutische Betreuung, um mit dem Erlebten fertig zu werden, aber auch, um sich dem schwierigen Asylverfahren in Österreich stellen zu können. Derzeit stehen dafür nur ungenügend Mittel bereit. Damit eine verbesserte psychosoziale und psychotherapeutische Betreuung von Asylsuchenden und anerkannten Flüchtlingen gewährleistet ist, veranschlagen wir 1,5 Mio.  Euro.</w:t>
      </w:r>
    </w:p>
    <w:p w:rsidR="00BC78E2" w:rsidRDefault="00BC78E2" w:rsidP="00E935B0">
      <w:pPr>
        <w:pStyle w:val="ZGBFlietext"/>
      </w:pPr>
    </w:p>
    <w:p w:rsidR="00E935B0" w:rsidRDefault="00E935B0" w:rsidP="00E935B0">
      <w:pPr>
        <w:pStyle w:val="ZGBManahme"/>
      </w:pPr>
      <w:r w:rsidRPr="00E935B0">
        <w:t xml:space="preserve">Beteiligung Österreichs an </w:t>
      </w:r>
      <w:proofErr w:type="spellStart"/>
      <w:r w:rsidRPr="00E935B0">
        <w:t>Resettlement</w:t>
      </w:r>
      <w:proofErr w:type="spellEnd"/>
      <w:r w:rsidRPr="00E935B0">
        <w:t>-Aktionen in Kooperation mit der UNO</w:t>
      </w:r>
    </w:p>
    <w:p w:rsidR="006738E5" w:rsidRDefault="00BC78E2" w:rsidP="00E935B0">
      <w:pPr>
        <w:pStyle w:val="ZGBFlietext"/>
      </w:pPr>
      <w:r w:rsidRPr="00BC78E2">
        <w:t>Der Begriff „</w:t>
      </w:r>
      <w:proofErr w:type="spellStart"/>
      <w:r w:rsidRPr="00BC78E2">
        <w:t>Resettlement</w:t>
      </w:r>
      <w:proofErr w:type="spellEnd"/>
      <w:r w:rsidRPr="00BC78E2">
        <w:t xml:space="preserve">“ bezeichnet die dauerhafte Neuansiedlung von bereits anerkannten Flüchtlingen in einem zur Aufnahme bereiten Land, das ihnen vollen Flüchtlingsschutz gewährt. Für ein </w:t>
      </w:r>
      <w:proofErr w:type="spellStart"/>
      <w:r w:rsidRPr="00BC78E2">
        <w:t>Resettlement</w:t>
      </w:r>
      <w:proofErr w:type="spellEnd"/>
      <w:r w:rsidRPr="00BC78E2">
        <w:t xml:space="preserve"> vereinbart das UN-Flüchtlingshochkommissariat UNHCR mit dem Neuansiedlungsland den konkreten Ablauf des </w:t>
      </w:r>
      <w:proofErr w:type="spellStart"/>
      <w:r w:rsidRPr="00BC78E2">
        <w:t>Resettlements</w:t>
      </w:r>
      <w:proofErr w:type="spellEnd"/>
      <w:r w:rsidRPr="00BC78E2">
        <w:t xml:space="preserve">. Das umfasst die Auswahl der Personen, die Reiseformalitäten, einen Sicherheitscheck sowie die Aufnahme vor Ort. Sowohl der betroffene Flüchtling als auch das Aufnahmeland müssen dem </w:t>
      </w:r>
      <w:proofErr w:type="spellStart"/>
      <w:r w:rsidRPr="00BC78E2">
        <w:t>Resettlement</w:t>
      </w:r>
      <w:proofErr w:type="spellEnd"/>
      <w:r w:rsidRPr="00BC78E2">
        <w:t xml:space="preserve"> zustimmen. Bislang bieten nur einige Staaten </w:t>
      </w:r>
      <w:proofErr w:type="spellStart"/>
      <w:r w:rsidRPr="00BC78E2">
        <w:t>Resettlement</w:t>
      </w:r>
      <w:proofErr w:type="spellEnd"/>
      <w:r w:rsidRPr="00BC78E2">
        <w:t xml:space="preserve">-Programme in Zusammenarbeit mit UNHCR an. Die meisten Flüchtlinge (rund 80%) werden momentan von den USA, Kanada und Australien aufgenommen. In Europa bieten die nordischen Länder die meisten </w:t>
      </w:r>
      <w:proofErr w:type="spellStart"/>
      <w:r w:rsidRPr="00BC78E2">
        <w:t>Resettlement</w:t>
      </w:r>
      <w:proofErr w:type="spellEnd"/>
      <w:r w:rsidRPr="00BC78E2">
        <w:t>-Plätze, aber auch viele andere Länder haben bereits kleinere Programme gestartet, inzwischen auch Österreich. Mit einem Betrag von 5 Mio. Euro, der durch Förderungen der EU verdoppelt wird, könnte weiteren 1000 Flüchtlingen eine würdige Lebensperspektive geboten werden.</w:t>
      </w:r>
    </w:p>
    <w:p w:rsidR="00053152" w:rsidRDefault="00053152" w:rsidP="00E935B0">
      <w:pPr>
        <w:pStyle w:val="ZGBFlietext"/>
      </w:pPr>
    </w:p>
    <w:p w:rsidR="00BC78E2" w:rsidRDefault="00BC78E2" w:rsidP="00E935B0">
      <w:pPr>
        <w:pStyle w:val="ZGBFlietext"/>
      </w:pPr>
    </w:p>
    <w:p w:rsidR="00BC78E2" w:rsidRDefault="00BC78E2" w:rsidP="009A6654">
      <w:pPr>
        <w:pStyle w:val="berschrift2"/>
      </w:pPr>
      <w:bookmarkStart w:id="20" w:name="_Toc406072763"/>
      <w:r w:rsidRPr="00BC78E2">
        <w:t>Kunst und Kultur für alle</w:t>
      </w:r>
      <w:bookmarkEnd w:id="20"/>
    </w:p>
    <w:p w:rsidR="005A5AB7" w:rsidRDefault="005A5AB7" w:rsidP="00E935B0">
      <w:pPr>
        <w:pStyle w:val="ZGBFlietext"/>
      </w:pPr>
    </w:p>
    <w:p w:rsidR="00BC78E2" w:rsidRDefault="00BC78E2" w:rsidP="00BC78E2">
      <w:pPr>
        <w:pStyle w:val="ZGBEinleitung"/>
      </w:pPr>
      <w:r w:rsidRPr="00BC78E2">
        <w:t xml:space="preserve">Die Teilhabe am kulturellen Leben ist ein Grundbedürfnis aller und daher ein Menschenrecht. Die Beteiligung an den vielfältigen kulturellen Prozessen einer Gesellschaft bindet Menschen ein und vermittelt ihnen das Gefühl, dazuzugehören. Da aber der überwiegende Teil der Menschen nicht von öffentlich geförderten kulturellen Angeboten erreicht wird, ist es notwendig Klarheit zu schaffen über die Art der Barrieren und über die Art der eigentlichen kulturellen Interessen und Bedürfnisse vieler. Eine grundlegende Umverteilung der öffentlichen Mittel für Kultur muss dafür sorgen, dass mehr bildungsferne Menschen öffentliche Kulturangebote nutzen und nicht mehr diejenigen am höchsten gefördert werden, die bereits </w:t>
      </w:r>
      <w:r w:rsidRPr="00BC78E2">
        <w:lastRenderedPageBreak/>
        <w:t>über die besten Zugänge verfügen. I</w:t>
      </w:r>
      <w:r>
        <w:t>m Bundesbudget müssen seit 2013</w:t>
      </w:r>
      <w:r>
        <w:rPr>
          <w:rStyle w:val="Funotenzeichen"/>
        </w:rPr>
        <w:footnoteReference w:id="5"/>
      </w:r>
      <w:r w:rsidRPr="00BC78E2">
        <w:t xml:space="preserve"> Wirkungsziele angegeben werden. Die Ziele sollen im Kulturbereich künftig gemeinsam mit den </w:t>
      </w:r>
      <w:proofErr w:type="spellStart"/>
      <w:r w:rsidRPr="00BC78E2">
        <w:t>InteressensvertreterInnen</w:t>
      </w:r>
      <w:proofErr w:type="spellEnd"/>
      <w:r w:rsidRPr="00BC78E2">
        <w:t xml:space="preserve"> erstellt werden. Die Zielvorgaben und deren Wirkung sollen in den jährlichen Kunstberichten regelmäßig evaluiert werden.</w:t>
      </w:r>
    </w:p>
    <w:p w:rsidR="00BC78E2" w:rsidRDefault="00BC78E2" w:rsidP="00E935B0">
      <w:pPr>
        <w:pStyle w:val="ZGBFlietext"/>
      </w:pPr>
    </w:p>
    <w:p w:rsidR="00BC78E2" w:rsidRDefault="00BC78E2" w:rsidP="00BC78E2">
      <w:pPr>
        <w:pStyle w:val="ZGBManahme"/>
      </w:pPr>
      <w:r w:rsidRPr="00BC78E2">
        <w:t>Freiräume schaffen</w:t>
      </w:r>
    </w:p>
    <w:p w:rsidR="00BC78E2" w:rsidRDefault="00BC78E2" w:rsidP="00BC78E2">
      <w:pPr>
        <w:pStyle w:val="ZGBFlietext"/>
      </w:pPr>
      <w:r>
        <w:t xml:space="preserve">In der Entstehungsphase der freien Kultur ab den 1950er Jahren waren Räume die wichtigste öffentliche Unterstützung, die Kunst- und Kulturschaffende bekamen. Gemeinden stellten ihre Säle kostenlos zur Verfügung, Gebäude wurde durch kulturelle Aktivitäten wieder belebt und der Öffentlichkeit zurückgegeben. Industriebrachen und abgewirtschaftete </w:t>
      </w:r>
      <w:proofErr w:type="spellStart"/>
      <w:r>
        <w:t>Grätzel</w:t>
      </w:r>
      <w:proofErr w:type="spellEnd"/>
      <w:r>
        <w:t xml:space="preserve"> erlangten neues Leben durch die prekäre kulturelle Nutzung. Heute werden alle öffentlichen Räume „bewirtschaftet“, es gibt ein Management mit der Aufgabe, einen finanziellen Nutzen für den (öffentlichen) Eigentümer zu erzielen. Für die Kulturschaffenden heißt das, sie müssen ihre meist nicht kostendeckenden Einnahmen und öffentliche Subventionen für Mieten aufbringen, die im Normalfall auch noch Mehrwertsteuer enthalten. Öffentliche Räume wie Rathaussitzungssäle (im Sommer) oder Vortragsräume in Museen etc. müssen stärker im öffentlichen Interesse kostenlos genutzt werden können, auch durch Kulturprojekte, die ja öffentliche Güter herstellen. </w:t>
      </w:r>
      <w:proofErr w:type="spellStart"/>
      <w:r>
        <w:t>Weiters</w:t>
      </w:r>
      <w:proofErr w:type="spellEnd"/>
      <w:r>
        <w:t xml:space="preserve"> könnten Überlegungen im Bereich des Finanzausgleichs oder des Mehrwertsteuerregimes zielführend sein.</w:t>
      </w:r>
    </w:p>
    <w:p w:rsidR="00BC78E2" w:rsidRDefault="00BC78E2" w:rsidP="00E935B0">
      <w:pPr>
        <w:pStyle w:val="ZGBFlietext"/>
      </w:pPr>
    </w:p>
    <w:p w:rsidR="00BC78E2" w:rsidRDefault="00BC78E2" w:rsidP="00BC78E2">
      <w:pPr>
        <w:pStyle w:val="ZGBFlietext"/>
        <w:rPr>
          <w:rFonts w:cs="Verdana"/>
          <w:b/>
          <w:bCs/>
          <w:color w:val="auto"/>
          <w:sz w:val="28"/>
          <w:szCs w:val="28"/>
        </w:rPr>
      </w:pPr>
      <w:r w:rsidRPr="00BC78E2">
        <w:rPr>
          <w:rFonts w:cs="Verdana"/>
          <w:b/>
          <w:bCs/>
          <w:color w:val="auto"/>
          <w:sz w:val="28"/>
          <w:szCs w:val="28"/>
        </w:rPr>
        <w:t>Kunst und Kultur im Ki</w:t>
      </w:r>
      <w:r>
        <w:rPr>
          <w:rFonts w:cs="Verdana"/>
          <w:b/>
          <w:bCs/>
          <w:color w:val="auto"/>
          <w:sz w:val="28"/>
          <w:szCs w:val="28"/>
        </w:rPr>
        <w:t xml:space="preserve">ndergarten </w:t>
      </w:r>
      <w:r w:rsidRPr="00BC78E2">
        <w:rPr>
          <w:rFonts w:cs="Verdana"/>
          <w:b/>
          <w:bCs/>
          <w:color w:val="auto"/>
          <w:sz w:val="28"/>
          <w:szCs w:val="28"/>
        </w:rPr>
        <w:t>und in der Schule</w:t>
      </w:r>
    </w:p>
    <w:p w:rsidR="00BC78E2" w:rsidRPr="00BC78E2" w:rsidRDefault="00BC78E2" w:rsidP="00BC78E2">
      <w:pPr>
        <w:pStyle w:val="ZGBManahme"/>
        <w:rPr>
          <w:rFonts w:cs="MinionPro-Regular"/>
          <w:b w:val="0"/>
          <w:bCs w:val="0"/>
          <w:color w:val="000000" w:themeColor="text1"/>
          <w:sz w:val="22"/>
          <w:szCs w:val="22"/>
        </w:rPr>
      </w:pPr>
      <w:r w:rsidRPr="00BC78E2">
        <w:rPr>
          <w:rFonts w:cs="MinionPro-Regular"/>
          <w:b w:val="0"/>
          <w:bCs w:val="0"/>
          <w:color w:val="000000" w:themeColor="text1"/>
          <w:sz w:val="22"/>
          <w:szCs w:val="22"/>
        </w:rPr>
        <w:t xml:space="preserve">Das österreichische Bildungssystem vererbt mit dem sozialen Status auch die Zugänge zur Kultur. Wer als Kind schon Bücher, Musikinstrumente und Malwerkzeug zur Verfügung hatte, wer ins Theater und in Konzerte mitgenommen wurde, besitzt ein Leben lang eine selbstverständliche und offene Beziehung zu den verschiedensten Erscheinungsformen der Kultur. Wer das nicht hat, versteht Kultur als etwas für die Eliten und betrachtet ein Theater als fremden, unzugänglichen Ort. Es muss daher selbstverständlich werden, dass Kunst und Kultur in aktiver und passiver Form zum Angebot der Bildungseinrichtungen gehören. Dafür braucht es Räume, </w:t>
      </w:r>
      <w:proofErr w:type="spellStart"/>
      <w:r w:rsidRPr="00BC78E2">
        <w:rPr>
          <w:rFonts w:cs="MinionPro-Regular"/>
          <w:b w:val="0"/>
          <w:bCs w:val="0"/>
          <w:color w:val="000000" w:themeColor="text1"/>
          <w:sz w:val="22"/>
          <w:szCs w:val="22"/>
        </w:rPr>
        <w:t>BegleiterInnen</w:t>
      </w:r>
      <w:proofErr w:type="spellEnd"/>
      <w:r w:rsidRPr="00BC78E2">
        <w:rPr>
          <w:rFonts w:cs="MinionPro-Regular"/>
          <w:b w:val="0"/>
          <w:bCs w:val="0"/>
          <w:color w:val="000000" w:themeColor="text1"/>
          <w:sz w:val="22"/>
          <w:szCs w:val="22"/>
        </w:rPr>
        <w:t xml:space="preserve"> und Zeit. Wir schlagen folgende Maßnahmen vor, die Kunst und Kultur für alle Kinder zugänglich machen: </w:t>
      </w:r>
    </w:p>
    <w:p w:rsidR="00BC78E2" w:rsidRPr="00BC78E2" w:rsidRDefault="00BC78E2" w:rsidP="00BC78E2">
      <w:pPr>
        <w:pStyle w:val="ZGBManahme"/>
        <w:rPr>
          <w:rFonts w:cs="MinionPro-Regular"/>
          <w:b w:val="0"/>
          <w:bCs w:val="0"/>
          <w:color w:val="000000" w:themeColor="text1"/>
          <w:sz w:val="22"/>
          <w:szCs w:val="22"/>
        </w:rPr>
      </w:pPr>
    </w:p>
    <w:p w:rsidR="00BC78E2" w:rsidRPr="00BC78E2" w:rsidRDefault="00BC78E2" w:rsidP="00BC78E2">
      <w:pPr>
        <w:pStyle w:val="ZGBManahme"/>
        <w:numPr>
          <w:ilvl w:val="0"/>
          <w:numId w:val="36"/>
        </w:numPr>
        <w:rPr>
          <w:rFonts w:cs="MinionPro-Regular"/>
          <w:b w:val="0"/>
          <w:bCs w:val="0"/>
          <w:color w:val="000000" w:themeColor="text1"/>
          <w:sz w:val="22"/>
          <w:szCs w:val="22"/>
        </w:rPr>
      </w:pPr>
      <w:r w:rsidRPr="00BC78E2">
        <w:rPr>
          <w:rFonts w:cs="MinionPro-Regular"/>
          <w:b w:val="0"/>
          <w:bCs w:val="0"/>
          <w:color w:val="000000" w:themeColor="text1"/>
          <w:sz w:val="22"/>
          <w:szCs w:val="22"/>
        </w:rPr>
        <w:t>Die bisherige Arbeit der Kulturvermittlungsstelle Kulturkontakt Austria ist wichtig aber nicht ausreichend. Mit einem Budget von 20 Mio. Euro könnte hier eine substantielle Verbesserung der Kulturvermittlung ermöglicht werden.</w:t>
      </w:r>
    </w:p>
    <w:p w:rsidR="00BC78E2" w:rsidRPr="00BC78E2" w:rsidRDefault="00BC78E2" w:rsidP="00BC78E2">
      <w:pPr>
        <w:pStyle w:val="ZGBManahme"/>
        <w:numPr>
          <w:ilvl w:val="0"/>
          <w:numId w:val="36"/>
        </w:numPr>
        <w:rPr>
          <w:rFonts w:cs="MinionPro-Regular"/>
          <w:b w:val="0"/>
          <w:bCs w:val="0"/>
          <w:color w:val="000000" w:themeColor="text1"/>
          <w:sz w:val="22"/>
          <w:szCs w:val="22"/>
        </w:rPr>
      </w:pPr>
      <w:r w:rsidRPr="00BC78E2">
        <w:rPr>
          <w:rFonts w:cs="MinionPro-Regular"/>
          <w:b w:val="0"/>
          <w:bCs w:val="0"/>
          <w:color w:val="000000" w:themeColor="text1"/>
          <w:sz w:val="22"/>
          <w:szCs w:val="22"/>
        </w:rPr>
        <w:t xml:space="preserve">Darüber hinaus braucht es gut ausgebildete </w:t>
      </w:r>
      <w:proofErr w:type="spellStart"/>
      <w:r w:rsidRPr="00BC78E2">
        <w:rPr>
          <w:rFonts w:cs="MinionPro-Regular"/>
          <w:b w:val="0"/>
          <w:bCs w:val="0"/>
          <w:color w:val="000000" w:themeColor="text1"/>
          <w:sz w:val="22"/>
          <w:szCs w:val="22"/>
        </w:rPr>
        <w:t>FreizeitpädagogInnen</w:t>
      </w:r>
      <w:proofErr w:type="spellEnd"/>
      <w:r w:rsidRPr="00BC78E2">
        <w:rPr>
          <w:rFonts w:cs="MinionPro-Regular"/>
          <w:b w:val="0"/>
          <w:bCs w:val="0"/>
          <w:color w:val="000000" w:themeColor="text1"/>
          <w:sz w:val="22"/>
          <w:szCs w:val="22"/>
        </w:rPr>
        <w:t xml:space="preserve">, die in ganztägigen Bildungseinrichtungen Angebote für eigene künstlerischen Aktivitäten der Kinder und Jugendlichen machen und diese in die Kultureinrichtungen begleiten. Mit 20 Euro pro </w:t>
      </w:r>
      <w:proofErr w:type="spellStart"/>
      <w:r w:rsidRPr="00BC78E2">
        <w:rPr>
          <w:rFonts w:cs="MinionPro-Regular"/>
          <w:b w:val="0"/>
          <w:bCs w:val="0"/>
          <w:color w:val="000000" w:themeColor="text1"/>
          <w:sz w:val="22"/>
          <w:szCs w:val="22"/>
        </w:rPr>
        <w:t>SchülerIn</w:t>
      </w:r>
      <w:proofErr w:type="spellEnd"/>
      <w:r w:rsidRPr="00BC78E2">
        <w:rPr>
          <w:rFonts w:cs="MinionPro-Regular"/>
          <w:b w:val="0"/>
          <w:bCs w:val="0"/>
          <w:color w:val="000000" w:themeColor="text1"/>
          <w:sz w:val="22"/>
          <w:szCs w:val="22"/>
        </w:rPr>
        <w:t xml:space="preserve"> und Monat wird Kultur für alle möglich und schafft zugleich rund 8.000 Arbeitsplätze an 6.000 österreichischen Schulen (Gesamtfinanzierungsbedarf 308 Mio. Euro) </w:t>
      </w:r>
    </w:p>
    <w:p w:rsidR="00BC78E2" w:rsidRPr="00BC78E2" w:rsidRDefault="00BC78E2" w:rsidP="00BC78E2">
      <w:pPr>
        <w:pStyle w:val="ZGBManahme"/>
        <w:rPr>
          <w:rFonts w:cs="MinionPro-Regular"/>
          <w:b w:val="0"/>
          <w:bCs w:val="0"/>
          <w:color w:val="000000" w:themeColor="text1"/>
          <w:sz w:val="22"/>
          <w:szCs w:val="22"/>
        </w:rPr>
      </w:pPr>
    </w:p>
    <w:p w:rsidR="00BC78E2" w:rsidRDefault="00BC78E2" w:rsidP="00BC78E2">
      <w:pPr>
        <w:pStyle w:val="ZGBManahme"/>
        <w:numPr>
          <w:ilvl w:val="0"/>
          <w:numId w:val="36"/>
        </w:numPr>
        <w:rPr>
          <w:rFonts w:cs="MinionPro-Regular"/>
          <w:b w:val="0"/>
          <w:bCs w:val="0"/>
          <w:color w:val="000000" w:themeColor="text1"/>
          <w:sz w:val="22"/>
          <w:szCs w:val="22"/>
        </w:rPr>
      </w:pPr>
      <w:proofErr w:type="spellStart"/>
      <w:r w:rsidRPr="00BC78E2">
        <w:rPr>
          <w:rFonts w:cs="MinionPro-Regular"/>
          <w:b w:val="0"/>
          <w:bCs w:val="0"/>
          <w:color w:val="000000" w:themeColor="text1"/>
          <w:sz w:val="22"/>
          <w:szCs w:val="22"/>
        </w:rPr>
        <w:t>KünstlerInnen</w:t>
      </w:r>
      <w:proofErr w:type="spellEnd"/>
      <w:r w:rsidRPr="00BC78E2">
        <w:rPr>
          <w:rFonts w:cs="MinionPro-Regular"/>
          <w:b w:val="0"/>
          <w:bCs w:val="0"/>
          <w:color w:val="000000" w:themeColor="text1"/>
          <w:sz w:val="22"/>
          <w:szCs w:val="22"/>
        </w:rPr>
        <w:t xml:space="preserve"> arbeiten in Schulen und bekommen dafür Räume und pädagogische Unterstützung. Es muss neben der Arbeit von Kulturkontakt Austria die Eigeninitiative von </w:t>
      </w:r>
      <w:proofErr w:type="spellStart"/>
      <w:r w:rsidRPr="00BC78E2">
        <w:rPr>
          <w:rFonts w:cs="MinionPro-Regular"/>
          <w:b w:val="0"/>
          <w:bCs w:val="0"/>
          <w:color w:val="000000" w:themeColor="text1"/>
          <w:sz w:val="22"/>
          <w:szCs w:val="22"/>
        </w:rPr>
        <w:t>KünstlerInnen</w:t>
      </w:r>
      <w:proofErr w:type="spellEnd"/>
      <w:r w:rsidRPr="00BC78E2">
        <w:rPr>
          <w:rFonts w:cs="MinionPro-Regular"/>
          <w:b w:val="0"/>
          <w:bCs w:val="0"/>
          <w:color w:val="000000" w:themeColor="text1"/>
          <w:sz w:val="22"/>
          <w:szCs w:val="22"/>
        </w:rPr>
        <w:t xml:space="preserve"> im schulischen Bereich gefördert werden. In der Bundeskulturförderung wird daher in den einzelnen Fachabteilungen das Ziel definiert, dass </w:t>
      </w:r>
      <w:proofErr w:type="spellStart"/>
      <w:r w:rsidRPr="00BC78E2">
        <w:rPr>
          <w:rFonts w:cs="MinionPro-Regular"/>
          <w:b w:val="0"/>
          <w:bCs w:val="0"/>
          <w:color w:val="000000" w:themeColor="text1"/>
          <w:sz w:val="22"/>
          <w:szCs w:val="22"/>
        </w:rPr>
        <w:t>KünstlerInnen</w:t>
      </w:r>
      <w:proofErr w:type="spellEnd"/>
      <w:r w:rsidRPr="00BC78E2">
        <w:rPr>
          <w:rFonts w:cs="MinionPro-Regular"/>
          <w:b w:val="0"/>
          <w:bCs w:val="0"/>
          <w:color w:val="000000" w:themeColor="text1"/>
          <w:sz w:val="22"/>
          <w:szCs w:val="22"/>
        </w:rPr>
        <w:t xml:space="preserve"> Schulen als Wirkungsorte wahrnehmen und dafür </w:t>
      </w:r>
      <w:proofErr w:type="spellStart"/>
      <w:r w:rsidRPr="00BC78E2">
        <w:rPr>
          <w:rFonts w:cs="MinionPro-Regular"/>
          <w:b w:val="0"/>
          <w:bCs w:val="0"/>
          <w:color w:val="000000" w:themeColor="text1"/>
          <w:sz w:val="22"/>
          <w:szCs w:val="22"/>
        </w:rPr>
        <w:t>KünstlerInnenstipendien</w:t>
      </w:r>
      <w:proofErr w:type="spellEnd"/>
      <w:r w:rsidRPr="00BC78E2">
        <w:rPr>
          <w:rFonts w:cs="MinionPro-Regular"/>
          <w:b w:val="0"/>
          <w:bCs w:val="0"/>
          <w:color w:val="000000" w:themeColor="text1"/>
          <w:sz w:val="22"/>
          <w:szCs w:val="22"/>
        </w:rPr>
        <w:t xml:space="preserve"> vergeben werden. Wir schlagen vor, jährlich 100 </w:t>
      </w:r>
      <w:proofErr w:type="spellStart"/>
      <w:r w:rsidRPr="00BC78E2">
        <w:rPr>
          <w:rFonts w:cs="MinionPro-Regular"/>
          <w:b w:val="0"/>
          <w:bCs w:val="0"/>
          <w:color w:val="000000" w:themeColor="text1"/>
          <w:sz w:val="22"/>
          <w:szCs w:val="22"/>
        </w:rPr>
        <w:t>KünstlerInnenstipendien</w:t>
      </w:r>
      <w:proofErr w:type="spellEnd"/>
      <w:r w:rsidRPr="00BC78E2">
        <w:rPr>
          <w:rFonts w:cs="MinionPro-Regular"/>
          <w:b w:val="0"/>
          <w:bCs w:val="0"/>
          <w:color w:val="000000" w:themeColor="text1"/>
          <w:sz w:val="22"/>
          <w:szCs w:val="22"/>
        </w:rPr>
        <w:t xml:space="preserve"> in der Höhe von 12.000 Euro/Jahr zu vergeben. Das ist ein Gesamtfinanzierungsbedarf von 1,2 Mio. Euro.</w:t>
      </w:r>
    </w:p>
    <w:p w:rsidR="00BC78E2" w:rsidRDefault="00BC78E2" w:rsidP="00BC78E2">
      <w:pPr>
        <w:pStyle w:val="ZGBManahme"/>
        <w:rPr>
          <w:rFonts w:cs="MinionPro-Regular"/>
          <w:b w:val="0"/>
          <w:bCs w:val="0"/>
          <w:color w:val="000000" w:themeColor="text1"/>
          <w:sz w:val="22"/>
          <w:szCs w:val="22"/>
        </w:rPr>
      </w:pPr>
    </w:p>
    <w:p w:rsidR="00BC78E2" w:rsidRDefault="00BC78E2" w:rsidP="00BC78E2">
      <w:pPr>
        <w:pStyle w:val="ZGBFlietext"/>
        <w:rPr>
          <w:rFonts w:cs="Verdana"/>
          <w:b/>
          <w:bCs/>
          <w:color w:val="auto"/>
          <w:sz w:val="28"/>
          <w:szCs w:val="28"/>
        </w:rPr>
      </w:pPr>
      <w:r w:rsidRPr="00BC78E2">
        <w:rPr>
          <w:rFonts w:cs="Verdana"/>
          <w:b/>
          <w:bCs/>
          <w:color w:val="auto"/>
          <w:sz w:val="28"/>
          <w:szCs w:val="28"/>
        </w:rPr>
        <w:t>Unterstützung</w:t>
      </w:r>
      <w:r>
        <w:rPr>
          <w:rFonts w:cs="Verdana"/>
          <w:b/>
          <w:bCs/>
          <w:color w:val="auto"/>
          <w:sz w:val="28"/>
          <w:szCs w:val="28"/>
        </w:rPr>
        <w:t xml:space="preserve"> freiwilliger regionaler Kultur</w:t>
      </w:r>
      <w:r w:rsidRPr="00BC78E2">
        <w:rPr>
          <w:rFonts w:cs="Verdana"/>
          <w:b/>
          <w:bCs/>
          <w:color w:val="auto"/>
          <w:sz w:val="28"/>
          <w:szCs w:val="28"/>
        </w:rPr>
        <w:t>​initiativen mit professioneller Kulturarbeit</w:t>
      </w:r>
    </w:p>
    <w:p w:rsidR="00BC78E2" w:rsidRDefault="00BC78E2" w:rsidP="00BC78E2">
      <w:pPr>
        <w:pStyle w:val="ZGBManahme"/>
        <w:rPr>
          <w:rFonts w:cs="MinionPro-Regular"/>
          <w:b w:val="0"/>
          <w:bCs w:val="0"/>
          <w:color w:val="000000" w:themeColor="text1"/>
          <w:sz w:val="22"/>
          <w:szCs w:val="22"/>
        </w:rPr>
      </w:pPr>
      <w:r w:rsidRPr="00BC78E2">
        <w:rPr>
          <w:rFonts w:cs="MinionPro-Regular"/>
          <w:b w:val="0"/>
          <w:bCs w:val="0"/>
          <w:color w:val="000000" w:themeColor="text1"/>
          <w:sz w:val="22"/>
          <w:szCs w:val="22"/>
        </w:rPr>
        <w:t xml:space="preserve">Regionale Kulturinitiativen haben sich die Versorgung mit zeitgenössischen kulturellen Angeboten in ihrem lokalen Umfeld zum Ziel gesetzt. Damit hat erstmals auch die ländliche Bevölkerung die Möglichkeit bekommen, neben der bodenständigen Kultur auch an aktuellen künstlerischen Entwicklungen teilzuhaben und Programme im eigenen lokalen Umfeld mitzugestalten. Regionale Kulturinitiativen haben sich auch stets um wenig kulturaffine Bevölkerungsschichten verdient gemacht. Die Kraft dafür schöpfen sie zum </w:t>
      </w:r>
      <w:r w:rsidRPr="00BC78E2">
        <w:rPr>
          <w:rFonts w:cs="MinionPro-Regular"/>
          <w:b w:val="0"/>
          <w:bCs w:val="0"/>
          <w:color w:val="000000" w:themeColor="text1"/>
          <w:sz w:val="22"/>
          <w:szCs w:val="22"/>
        </w:rPr>
        <w:lastRenderedPageBreak/>
        <w:t xml:space="preserve">überwiegenden Teil aus der Ressource des freiwilligen Engagements. Der Kulturbereich bringt laut Freiwilligenbericht des BMASK den größten Anteil an freiwilliger Arbeit von allen Bereichen auf. Damit diese Basis des freiwilligen Engagements erhalten bleibt und sich nicht in bürokratischem Kleinkram erschöpft, muss sie ergänzt werden  durch professionelle bezahlte Arbeit. Die Idee, die Ziele, die Richtung, die Programme und die Motivation Gleichgesinnter erfolgen ehrenamtlich. Die konkrete Planung, Organisation, Kommunikation und Abrechnung müssen professionell unterstützt werden. Dafür braucht es angemessen bezahltes Personal (Gehaltsschema der IG Kultur Österreich). Die Förderung für einzelne </w:t>
      </w:r>
      <w:proofErr w:type="spellStart"/>
      <w:r w:rsidRPr="00BC78E2">
        <w:rPr>
          <w:rFonts w:cs="MinionPro-Regular"/>
          <w:b w:val="0"/>
          <w:bCs w:val="0"/>
          <w:color w:val="000000" w:themeColor="text1"/>
          <w:sz w:val="22"/>
          <w:szCs w:val="22"/>
        </w:rPr>
        <w:t>KünstlerInnen</w:t>
      </w:r>
      <w:proofErr w:type="spellEnd"/>
      <w:r w:rsidRPr="00BC78E2">
        <w:rPr>
          <w:rFonts w:cs="MinionPro-Regular"/>
          <w:b w:val="0"/>
          <w:bCs w:val="0"/>
          <w:color w:val="000000" w:themeColor="text1"/>
          <w:sz w:val="22"/>
          <w:szCs w:val="22"/>
        </w:rPr>
        <w:t xml:space="preserve"> und für freie Kulturarbeit muss in den Abteilungen der Kunstsektion in eigenen Budgetansätzen festgeschrieben werden. Die derzeitigen Budgets dafür werden verdoppelt (d. h. zusätzlich 138 Mio. Euro bereitgestellt) und regelmäßig der Inflation angepasst.</w:t>
      </w:r>
    </w:p>
    <w:p w:rsidR="00BC78E2" w:rsidRDefault="00BC78E2" w:rsidP="00BC78E2">
      <w:pPr>
        <w:pStyle w:val="ZGBManahme"/>
        <w:rPr>
          <w:rFonts w:cs="MinionPro-Regular"/>
          <w:b w:val="0"/>
          <w:bCs w:val="0"/>
          <w:color w:val="000000" w:themeColor="text1"/>
          <w:sz w:val="22"/>
          <w:szCs w:val="22"/>
        </w:rPr>
      </w:pPr>
    </w:p>
    <w:p w:rsidR="00BC78E2" w:rsidRDefault="00BC78E2" w:rsidP="00BC78E2">
      <w:pPr>
        <w:pStyle w:val="ZGBFlietext"/>
        <w:rPr>
          <w:rFonts w:cs="Verdana"/>
          <w:b/>
          <w:bCs/>
          <w:color w:val="auto"/>
          <w:sz w:val="28"/>
          <w:szCs w:val="28"/>
        </w:rPr>
      </w:pPr>
      <w:r>
        <w:rPr>
          <w:rFonts w:cs="Verdana"/>
          <w:b/>
          <w:bCs/>
          <w:color w:val="auto"/>
          <w:sz w:val="28"/>
          <w:szCs w:val="28"/>
        </w:rPr>
        <w:t xml:space="preserve">Künstlerinnen und Künstlern </w:t>
      </w:r>
      <w:r w:rsidRPr="00BC78E2">
        <w:rPr>
          <w:rFonts w:cs="Verdana"/>
          <w:b/>
          <w:bCs/>
          <w:color w:val="auto"/>
          <w:sz w:val="28"/>
          <w:szCs w:val="28"/>
        </w:rPr>
        <w:t>den Einstieg ermöglichen</w:t>
      </w:r>
    </w:p>
    <w:p w:rsidR="00BC78E2" w:rsidRDefault="00BC78E2" w:rsidP="00BC78E2">
      <w:pPr>
        <w:pStyle w:val="ZGBFlietext"/>
      </w:pPr>
      <w:r>
        <w:t xml:space="preserve">Stagnierende und sinkende Budgets im Kulturbereich führen zu einer Bevorzugung bestehender Einrichtungen und erschweren allem Neuen die Etablierung („Senioritätsprinzip“). Dadurch kämpfen junge </w:t>
      </w:r>
      <w:proofErr w:type="spellStart"/>
      <w:r>
        <w:t>KünstlerInnen</w:t>
      </w:r>
      <w:proofErr w:type="spellEnd"/>
      <w:r>
        <w:t xml:space="preserve"> und neue ästhetische Ideen und Formen unter schwierigsten Bedingungen um ihre öffentliche Präsentation und Popularisierung. Ein vielfältiges Gefüge von großen, mittleren und kleinen Kultureinrichtungen ohne hierarchische Ordnung stärkt junge </w:t>
      </w:r>
      <w:proofErr w:type="spellStart"/>
      <w:r>
        <w:t>KünstlerInnen</w:t>
      </w:r>
      <w:proofErr w:type="spellEnd"/>
      <w:r>
        <w:t xml:space="preserve">, deren Experimentierfreudigkeit und die </w:t>
      </w:r>
      <w:proofErr w:type="spellStart"/>
      <w:r>
        <w:t>InNoVation</w:t>
      </w:r>
      <w:proofErr w:type="spellEnd"/>
      <w:r>
        <w:t xml:space="preserve"> des kulturellen Lebens. Der Einstieg und das Knüpfen von Netzwerken werden durch Stipendien, </w:t>
      </w:r>
      <w:proofErr w:type="spellStart"/>
      <w:r>
        <w:t>Touringsysteme</w:t>
      </w:r>
      <w:proofErr w:type="spellEnd"/>
      <w:r>
        <w:t xml:space="preserve">,  Reisekostenzuschüsse und </w:t>
      </w:r>
      <w:proofErr w:type="spellStart"/>
      <w:r>
        <w:t>Residencies</w:t>
      </w:r>
      <w:proofErr w:type="spellEnd"/>
      <w:r>
        <w:t xml:space="preserve"> (ausländischer </w:t>
      </w:r>
      <w:proofErr w:type="spellStart"/>
      <w:r>
        <w:t>KünstlerInnen</w:t>
      </w:r>
      <w:proofErr w:type="spellEnd"/>
      <w:r>
        <w:t xml:space="preserve"> in Österreich) ermöglicht. Es muss daher das Stipendienwesen ausgebaut werden. </w:t>
      </w:r>
      <w:proofErr w:type="spellStart"/>
      <w:r>
        <w:t>Touringsysteme</w:t>
      </w:r>
      <w:proofErr w:type="spellEnd"/>
      <w:r>
        <w:t xml:space="preserve"> für darstellende Kunst müssen etabliert werden (entsprechend „Theaterland Steiermark“ und darüber hinaus), Kultureinrichtungen müssen in die Lage versetzt werden, über längere Zeiträume mit </w:t>
      </w:r>
      <w:proofErr w:type="spellStart"/>
      <w:r>
        <w:t>GastkünstlerInnen</w:t>
      </w:r>
      <w:proofErr w:type="spellEnd"/>
      <w:r>
        <w:t xml:space="preserve"> bzw. Gastgruppen zu arbeiten und als </w:t>
      </w:r>
      <w:proofErr w:type="spellStart"/>
      <w:r>
        <w:t>KoproduzentInnen</w:t>
      </w:r>
      <w:proofErr w:type="spellEnd"/>
      <w:r>
        <w:t xml:space="preserve"> mitfinanzieren zu können. Eine Verdoppelung der Zahl der Nachwuchsstipendien und die Erhöhung des Stipendienbetrags kosten rund 3,4 Mio. Euro (Ausbau der Tourneekostenzuschüsse zu einem verlässlichen System und verbesserte Infrastruktur für </w:t>
      </w:r>
      <w:proofErr w:type="spellStart"/>
      <w:r>
        <w:t>Residencies</w:t>
      </w:r>
      <w:proofErr w:type="spellEnd"/>
      <w:r>
        <w:t>). Das Koproduzieren könnte bei etwa 8 Mio. Euro beginnen.</w:t>
      </w:r>
    </w:p>
    <w:p w:rsidR="00053152" w:rsidRDefault="00053152" w:rsidP="00BC78E2">
      <w:pPr>
        <w:pStyle w:val="ZGBFlietext"/>
      </w:pPr>
    </w:p>
    <w:p w:rsidR="00BC78E2" w:rsidRDefault="00BC78E2" w:rsidP="00E935B0">
      <w:pPr>
        <w:pStyle w:val="ZGBFlietext"/>
      </w:pPr>
    </w:p>
    <w:p w:rsidR="00E935B0" w:rsidRDefault="00E935B0" w:rsidP="009A6654">
      <w:pPr>
        <w:pStyle w:val="berschrift2"/>
      </w:pPr>
      <w:bookmarkStart w:id="21" w:name="_Toc406072764"/>
      <w:r>
        <w:t>Entwicklungszusammenarbeit, humanitäre Hilfe und Klimafinanzierung</w:t>
      </w:r>
      <w:bookmarkEnd w:id="21"/>
    </w:p>
    <w:p w:rsidR="00E935B0" w:rsidRPr="00E935B0" w:rsidRDefault="00E935B0" w:rsidP="00E935B0">
      <w:pPr>
        <w:pStyle w:val="ZGBEinleitung"/>
      </w:pPr>
    </w:p>
    <w:p w:rsidR="00E935B0" w:rsidRDefault="00356BB8" w:rsidP="00E935B0">
      <w:pPr>
        <w:pStyle w:val="ZGBEinleitung"/>
      </w:pPr>
      <w:r w:rsidRPr="00356BB8">
        <w:t>Herausforderungen der Zukunft können nicht auf nationaler Ebene gelöst werden, sie brauchen globale Antworten. Auf Eigeninteressen fokussierte Außenpolitik muss zu globaler Zusammenarbeitspolitik werden. Als Teil internationaler Zusammenarbeit trägt Entwicklungspolitik zu globaler Gerechtigkeit und weltweiter Friedenssicherung bei. Entwicklungszusammenarbeit (EZA) unterstützt Menschen in den ärmsten Ländern der Welt mit dem Ziel, deren Lebensbedingungen nachhaltig zu verbessern. Neben der Umsetzung von Projekten und Programmen in Entwicklungsländern zielt EZA daher vor allem auf die Veränderung (gesellschafts-)politischer Rahmenbedingungen und Strukturen ab. EZA soll die Menschen vor Ort unterstützen, ihre Rechte – die ihnen vielerorts vorenthalten werden – einzufordern. Insbesondere Bevölkerungsgruppen, die durch die bestehenden Machtstrukturen benachteiligt sind, werden gefördert (Frauen, Kinder, Minderheiten, weitere marginalisierte Gruppen). Humanitäre Hilfe wiederum leistet akute Nothilfe bei Katastrophen und rettet im entscheidenden Moment Menschenleben. Die Ärmsten der Armen sind auch von den zunehmend dramatischen Folgen des Klimawandels in den Entwicklungsländern betroffen. Klimawandel  hemmt  nachhaltige wirtschaftliche und soziale Entwicklung und verschärft Katastrophen, dem muss gegengesteuert werden. Die Ausgaben für EZA, humanitäre Hilfe und Klimafinanzierung sind als solidarischer Beitrag der privilegierten Länder, auch Österreichs, zu sehen. Die Frage des Eigennutzens – also: wie profitiert Österreich davon? – ist in diesem Zusammenhang nachrangig.</w:t>
      </w:r>
    </w:p>
    <w:p w:rsidR="00356BB8" w:rsidRDefault="00356BB8" w:rsidP="00E935B0">
      <w:pPr>
        <w:pStyle w:val="ZGBEinleitung"/>
      </w:pPr>
    </w:p>
    <w:p w:rsidR="00E935B0" w:rsidRPr="00E935B0" w:rsidRDefault="00E935B0" w:rsidP="00E935B0">
      <w:pPr>
        <w:pStyle w:val="ZGBManahme"/>
      </w:pPr>
      <w:r w:rsidRPr="00E935B0">
        <w:t>Erhöhung direkt gestaltbarer EZA und Katastrophenhilfe</w:t>
      </w:r>
    </w:p>
    <w:p w:rsidR="00356BB8" w:rsidRDefault="00356BB8" w:rsidP="00356BB8">
      <w:pPr>
        <w:pStyle w:val="ZGBFlietext"/>
      </w:pPr>
      <w:r>
        <w:t xml:space="preserve">Österreich hat das international vereinbarte Ziel, 0,7% des Bruttonationaleinkommens (BNE) für EZA aufzuwenden, mehrmals bekräftigt und muss dieser Verpflichtung nun nachkommen, indem - wie im aktuellen Regierungsprogramm festgeschrieben - die EZA-Mittel angehoben werden. </w:t>
      </w:r>
    </w:p>
    <w:p w:rsidR="00356BB8" w:rsidRDefault="00356BB8" w:rsidP="00356BB8">
      <w:pPr>
        <w:pStyle w:val="ZGBFlietext"/>
      </w:pPr>
      <w:r>
        <w:t xml:space="preserve">Ein weiterer Schritt betrifft die Mittel der direkt gestaltbaren bilateralen EZA, die von der Austrian Development Agency (ADA) gemeinsam mit </w:t>
      </w:r>
      <w:proofErr w:type="spellStart"/>
      <w:r>
        <w:t>PartnerInnen</w:t>
      </w:r>
      <w:proofErr w:type="spellEnd"/>
      <w:r>
        <w:t xml:space="preserve"> in den Entwicklungsländern realisiert wird und </w:t>
      </w:r>
      <w:r>
        <w:lastRenderedPageBreak/>
        <w:t xml:space="preserve">bewusste Schwerpunktsetzung erlaubt. Die von der Regierung beschlossenen Kürzungen für 2015 müssen verhindert und die seit Jahren durchgeführten Kürzungen zurückgenommen werden.  In einem ersten Schritt sind die Mittel für  die konkrete Projekthilfe im Jahr 2015 von 68  auf 85 Mio. Euro zu erhöhen.  </w:t>
      </w:r>
    </w:p>
    <w:p w:rsidR="00E935B0" w:rsidRDefault="00356BB8" w:rsidP="00356BB8">
      <w:pPr>
        <w:pStyle w:val="ZGBFlietext"/>
      </w:pPr>
      <w:r>
        <w:t>Die ebenfalls im Regierungsprogramm angekündigte Erhöhung der Dotierung des Auslandskatastrophenfonds von derzeit 5 auf 20 Mio. Euro muss umgehend umgesetzt werden. Die derzeit auf mehrere Ministerien aufgeteilten Kompetenzen und Budgetmittel für EZA und Humanitäre Hilfe müssen gebündelt und zentral koordiniert werden. Dies ist Voraussetzung, um rasche und unbürokratische Vergabe von Geldern, insbesondere für lebensrettende Maßnahmen, zu gewährleisten. Sowohl Ausgaben für EZA als auch für Humanitäre Hilfe müssen gesetzlich verankert werden, d.  h. sie dürfen keine „Ermessensausgaben“ mehr sein.</w:t>
      </w:r>
    </w:p>
    <w:p w:rsidR="00356BB8" w:rsidRDefault="00356BB8" w:rsidP="00356BB8">
      <w:pPr>
        <w:pStyle w:val="ZGBFlietext"/>
      </w:pPr>
    </w:p>
    <w:p w:rsidR="00E935B0" w:rsidRDefault="00E935B0" w:rsidP="00E935B0">
      <w:pPr>
        <w:pStyle w:val="ZGBManahme"/>
      </w:pPr>
      <w:r w:rsidRPr="00E935B0">
        <w:t>Internationale Klimafinanzierung sichern</w:t>
      </w:r>
    </w:p>
    <w:p w:rsidR="00E935B0" w:rsidRDefault="00356BB8" w:rsidP="00E935B0">
      <w:pPr>
        <w:pStyle w:val="ZGBFlietext"/>
      </w:pPr>
      <w:r w:rsidRPr="00356BB8">
        <w:t xml:space="preserve">Reiche Industriestaaten haben zugesagt, spätestens im Jahr 2020 jährlich insgesamt 100 Mrd.  USD für Maßnahmen zur Emissionsminderung, zum Schutz des globalen Waldbestandes sowie für klimafreundliche Entwicklung und Klimawandelanpassung in Entwicklungsländern zu leisten. Nachdem Österreich zuletzt jährlich 40 Mio. Euro „Anschubfinanzierung“ geleistet hat, muss es sein internationales Klimafinanzierungsprogramm auf 80 Mio. Euro aufstocken und bis zum Jahr 2020 kontinuierlich steigern. Diese Gelder würden insbesondere für einen signifikanten Beitrag zur Anfangsdotierung des Green </w:t>
      </w:r>
      <w:proofErr w:type="spellStart"/>
      <w:r w:rsidRPr="00356BB8">
        <w:t>Climate</w:t>
      </w:r>
      <w:proofErr w:type="spellEnd"/>
      <w:r w:rsidRPr="00356BB8">
        <w:t xml:space="preserve"> Fund, für eine Aufstockung des Auslandskatastrophenfonds und für zusätzliche bilaterale Klimaprojekte eingesetzt werden, mit deren Abwicklung die ADA beauftragt wird. Dabei muss auf ein ausgewogenes Verhältnis zwischen den Bereichen Klimaschutz (z. B. Energieprojekte) und Klimawandelanpassung geachtet werden. Wichtig ist, dass diese Mittel zusätzlich zu Geldern für EZA zur Verfügung gestellt werden und nicht als Teil des 0,7% Ziels gerechnet werden. Bestehenden Programmen darf nicht einfach ein „Klima-</w:t>
      </w:r>
      <w:proofErr w:type="spellStart"/>
      <w:r w:rsidRPr="00356BB8">
        <w:t>Mascherl</w:t>
      </w:r>
      <w:proofErr w:type="spellEnd"/>
      <w:r w:rsidRPr="00356BB8">
        <w:t>“ umgehängt werden oder neue Projekte im Klimabereich auf Kosten von anderen wichtigen entwicklungspolitischen Interventionen gehen. Um die nötige Finanzierung für globale Armutsbekämpfung und Klimafinanzierung zu gewährleisten, sollen auch neue Finanzierungsquellen – etwa ein substantieller Teil der Erlöse aus der künftigen Finanztransaktionssteuer – genützt werden.</w:t>
      </w:r>
    </w:p>
    <w:p w:rsidR="006738E5" w:rsidRDefault="006738E5" w:rsidP="00E935B0">
      <w:pPr>
        <w:pStyle w:val="ZGBFlietext"/>
      </w:pPr>
    </w:p>
    <w:p w:rsidR="006738E5" w:rsidRDefault="006738E5" w:rsidP="00E935B0">
      <w:pPr>
        <w:pStyle w:val="ZGBFlietext"/>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C22537" w:rsidRDefault="00C22537" w:rsidP="00E935B0">
      <w:pPr>
        <w:pStyle w:val="berschrift1"/>
      </w:pPr>
    </w:p>
    <w:p w:rsidR="00E935B0" w:rsidRPr="00E935B0" w:rsidRDefault="00356BB8" w:rsidP="00E935B0">
      <w:pPr>
        <w:pStyle w:val="berschrift1"/>
      </w:pPr>
      <w:bookmarkStart w:id="22" w:name="_Toc406072765"/>
      <w:r>
        <w:lastRenderedPageBreak/>
        <w:t xml:space="preserve">Arbeit entlasten, </w:t>
      </w:r>
      <w:r w:rsidR="00E935B0" w:rsidRPr="00E935B0">
        <w:t>Überfluss besteuern</w:t>
      </w:r>
      <w:bookmarkEnd w:id="22"/>
    </w:p>
    <w:p w:rsidR="00E935B0" w:rsidRPr="00E935B0" w:rsidRDefault="00E935B0" w:rsidP="00E935B0">
      <w:pPr>
        <w:pStyle w:val="ZGBFlietext"/>
      </w:pPr>
    </w:p>
    <w:p w:rsidR="00E935B0" w:rsidRPr="00E935B0" w:rsidRDefault="00E935B0" w:rsidP="00E935B0">
      <w:pPr>
        <w:pStyle w:val="ZGBFlietext"/>
      </w:pPr>
    </w:p>
    <w:p w:rsidR="00A52ACC" w:rsidRDefault="00A52ACC" w:rsidP="00E935B0">
      <w:pPr>
        <w:pStyle w:val="ZGBEinleitung"/>
      </w:pPr>
      <w:r w:rsidRPr="00A52ACC">
        <w:t xml:space="preserve">Das österreichische Budget besteuert Arbeit zu hoch, Vermögen und Einkommen aus Kapital zu gering und bietet Konzernen eine Reihe von Steuerprivilegien. Unsere Vorschläge zielen darauf ab, das österreichische Steuersystem sozial gerechter, umverteilender, geschlechtergerechter und ökologisch nachhaltiger zu machen. Durch die Besteuerung des in den letzten Jahrzehnten angehäuften Überflusses in Form von Vermögens- und Erbschaftssteuern, einer höheren Grundsteuer und auch einer Finanztransaktionssteuer wird eine umfassende Entlastung von Arbeit möglich. Die Abschaffung von Steuerprivilegien für Kapitaleinkommen und von Konzernen ebenso wie von umweltschädlichen Steuerbefreiungen, das Einschränken von Steuerflucht und -vermeidung sowie eine ökologische Steuerreform stellen sicher, dass Geld für Zukunftsinvestitionen vorhanden ist. Insgesamt wird dadurch die Steuerlast nicht erhöht, sondern lediglich verschoben: von jenen, die derzeit den Löwenanteil der Steuereinnahmen leisten, hin zu jenen, die zu den 5 Prozent der reichsten </w:t>
      </w:r>
      <w:proofErr w:type="spellStart"/>
      <w:r w:rsidRPr="00A52ACC">
        <w:t>ÖsterreicherInnen</w:t>
      </w:r>
      <w:proofErr w:type="spellEnd"/>
      <w:r w:rsidRPr="00A52ACC">
        <w:t xml:space="preserve"> gehören. Insgesamt leistet eine Steuerreform auf der Basis dieser Elemente auch einen Beitrag, um das Volumen der Finanzmittel auf den Finanzmärkten und so auch Spekulation zu verringern. Denn übermäßig große Vermögen heizen das Finanzcasino an. Dagegen verbessern geringere Steuern auf niedrige und mittlere Einkommen die Lebenssituation der </w:t>
      </w:r>
      <w:proofErr w:type="spellStart"/>
      <w:r w:rsidRPr="00A52ACC">
        <w:t>BezieherInnen</w:t>
      </w:r>
      <w:proofErr w:type="spellEnd"/>
      <w:r w:rsidRPr="00A52ACC">
        <w:t xml:space="preserve"> dieser erheblich und fördern die Wirtschaft, da diese Einkommen fast vollständig für die Ausgaben des täglichen Lebens verwendet werden. Arbeit steuerlich zu entlasten – im Gegenzug zu höheren Steuern auf Vermögen und einer höheren Besteuerung von Energie- und Ressourcenverbrauch – ist daher nicht nur eine Frage der Gerechtigkeit, sondern auch der wirtschaftlichen und ökologischen Vernunft.</w:t>
      </w:r>
    </w:p>
    <w:p w:rsidR="00A52ACC" w:rsidRDefault="00A52ACC" w:rsidP="00E935B0">
      <w:pPr>
        <w:pStyle w:val="ZGBEinleitung"/>
      </w:pPr>
    </w:p>
    <w:p w:rsidR="00A52ACC" w:rsidRDefault="00A52ACC" w:rsidP="00E935B0">
      <w:pPr>
        <w:pStyle w:val="ZGBEinleitung"/>
      </w:pPr>
    </w:p>
    <w:p w:rsidR="006738E5" w:rsidRDefault="00422231" w:rsidP="00E935B0">
      <w:pPr>
        <w:pStyle w:val="ZGBEinleitung"/>
      </w:pPr>
      <w:r>
        <w:rPr>
          <w:noProof/>
          <w:lang w:val="de-AT" w:eastAsia="de-AT"/>
        </w:rPr>
        <w:lastRenderedPageBreak/>
        <w:drawing>
          <wp:inline distT="0" distB="0" distL="0" distR="0">
            <wp:extent cx="6241415" cy="6464300"/>
            <wp:effectExtent l="0" t="0" r="6985" b="0"/>
            <wp:docPr id="8" name="Grafik 8" descr="X:\WadK\Alternatives Budget\2015\Grafiken\Überfluss besteue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WadK\Alternatives Budget\2015\Grafiken\Überfluss besteuer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41415" cy="6464300"/>
                    </a:xfrm>
                    <a:prstGeom prst="rect">
                      <a:avLst/>
                    </a:prstGeom>
                    <a:noFill/>
                    <a:ln>
                      <a:noFill/>
                    </a:ln>
                  </pic:spPr>
                </pic:pic>
              </a:graphicData>
            </a:graphic>
          </wp:inline>
        </w:drawing>
      </w: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Default="006738E5" w:rsidP="00E935B0">
      <w:pPr>
        <w:pStyle w:val="ZGBEinleitung"/>
      </w:pPr>
    </w:p>
    <w:p w:rsidR="006738E5" w:rsidRPr="00E935B0" w:rsidRDefault="006738E5" w:rsidP="00E935B0">
      <w:pPr>
        <w:pStyle w:val="ZGBEinleitung"/>
      </w:pPr>
    </w:p>
    <w:p w:rsidR="00E935B0" w:rsidRDefault="00E935B0" w:rsidP="00E935B0">
      <w:pPr>
        <w:pStyle w:val="ZGBEinleitung"/>
      </w:pPr>
    </w:p>
    <w:p w:rsidR="00422231" w:rsidRPr="00E935B0" w:rsidRDefault="00422231" w:rsidP="00E935B0">
      <w:pPr>
        <w:pStyle w:val="ZGBEinleitung"/>
      </w:pPr>
    </w:p>
    <w:p w:rsidR="00053152" w:rsidRDefault="00053152" w:rsidP="009A6654">
      <w:pPr>
        <w:pStyle w:val="berschrift2"/>
      </w:pPr>
    </w:p>
    <w:p w:rsidR="00053152" w:rsidRDefault="00053152" w:rsidP="009A6654">
      <w:pPr>
        <w:pStyle w:val="berschrift2"/>
      </w:pPr>
    </w:p>
    <w:p w:rsidR="00053152" w:rsidRDefault="00053152" w:rsidP="009A6654">
      <w:pPr>
        <w:pStyle w:val="berschrift2"/>
      </w:pPr>
    </w:p>
    <w:p w:rsidR="00053152" w:rsidRDefault="00053152" w:rsidP="009A6654">
      <w:pPr>
        <w:pStyle w:val="berschrift2"/>
      </w:pPr>
    </w:p>
    <w:p w:rsidR="00E935B0" w:rsidRDefault="00E935B0" w:rsidP="009A6654">
      <w:pPr>
        <w:pStyle w:val="berschrift2"/>
      </w:pPr>
      <w:bookmarkStart w:id="23" w:name="_Toc406072766"/>
      <w:r>
        <w:lastRenderedPageBreak/>
        <w:t>Vermögen besteuern</w:t>
      </w:r>
      <w:bookmarkEnd w:id="23"/>
      <w:r>
        <w:t xml:space="preserve"> </w:t>
      </w:r>
    </w:p>
    <w:p w:rsidR="00E935B0" w:rsidRDefault="00E935B0" w:rsidP="009A6654">
      <w:pPr>
        <w:pStyle w:val="berschrift2"/>
      </w:pPr>
    </w:p>
    <w:p w:rsidR="00E935B0" w:rsidRPr="00E935B0" w:rsidRDefault="0084442E" w:rsidP="00E935B0">
      <w:pPr>
        <w:pStyle w:val="ZGBFlietext"/>
      </w:pPr>
      <w:r w:rsidRPr="0084442E">
        <w:rPr>
          <w:b/>
          <w:i/>
          <w:color w:val="auto"/>
        </w:rPr>
        <w:t>Vermögen ist in Österreich sehr stark konzentriert und wird (im OECD-Schnitt) sehr gering besteuert. Während 5% der Bevölkerung 58% des Privatvermögens besitzen (Quell</w:t>
      </w:r>
      <w:r>
        <w:rPr>
          <w:b/>
          <w:i/>
          <w:color w:val="auto"/>
        </w:rPr>
        <w:t>e: Europäische Zentralbank 2014</w:t>
      </w:r>
      <w:r>
        <w:rPr>
          <w:rStyle w:val="Funotenzeichen"/>
          <w:b/>
          <w:i/>
          <w:color w:val="auto"/>
        </w:rPr>
        <w:footnoteReference w:id="6"/>
      </w:r>
      <w:r w:rsidRPr="0084442E">
        <w:rPr>
          <w:b/>
          <w:i/>
          <w:color w:val="auto"/>
        </w:rPr>
        <w:t xml:space="preserve">), tragen vermögensbezogene Steuern momentan nur 1,3% zum Gesamtsteueraufkommen (laut OECD Revenue </w:t>
      </w:r>
      <w:proofErr w:type="spellStart"/>
      <w:r w:rsidRPr="0084442E">
        <w:rPr>
          <w:b/>
          <w:i/>
          <w:color w:val="auto"/>
        </w:rPr>
        <w:t>Statistics</w:t>
      </w:r>
      <w:proofErr w:type="spellEnd"/>
      <w:r w:rsidRPr="0084442E">
        <w:rPr>
          <w:b/>
          <w:i/>
          <w:color w:val="auto"/>
        </w:rPr>
        <w:t xml:space="preserve">) bei. Der Großteil der staatlichen Einnahmen (rund 65%) wird derzeit durch die </w:t>
      </w:r>
      <w:proofErr w:type="spellStart"/>
      <w:r w:rsidRPr="0084442E">
        <w:rPr>
          <w:b/>
          <w:i/>
          <w:color w:val="auto"/>
        </w:rPr>
        <w:t>ArbeitnehmerInnen</w:t>
      </w:r>
      <w:proofErr w:type="spellEnd"/>
      <w:r w:rsidRPr="0084442E">
        <w:rPr>
          <w:b/>
          <w:i/>
          <w:color w:val="auto"/>
        </w:rPr>
        <w:t xml:space="preserve"> (über die Lohnsteuer) und die </w:t>
      </w:r>
      <w:proofErr w:type="spellStart"/>
      <w:r w:rsidRPr="0084442E">
        <w:rPr>
          <w:b/>
          <w:i/>
          <w:color w:val="auto"/>
        </w:rPr>
        <w:t>KonsumentInnen</w:t>
      </w:r>
      <w:proofErr w:type="spellEnd"/>
      <w:r w:rsidRPr="0084442E">
        <w:rPr>
          <w:b/>
          <w:i/>
          <w:color w:val="auto"/>
        </w:rPr>
        <w:t xml:space="preserve"> (über die Mehrwertsteuer) getragen (Quelle: AK). Damit Österreich eine gerechtere Einnahmenstruktur erhält, braucht es daher eine Vermögenssteuer. Die ungerechte Verteilung von Vermögen in Österreich setzt sich beim Erben bzw. Schenken fort. Viele Menschen erben gar nichts. Das durchschnittliche Erbe jener 40%, die am wenigsten Vermögen besitzen, betrug 2010 ca. 14.000 Euro. Dagegen erben die vermögensreichsten 20% der Bevölkerung im Durchschnitt 240.000 Euro – das sind ca. zwei Drittel der gesamten Erbschaften (Quelle: HFCS Austria 2010, </w:t>
      </w:r>
      <w:proofErr w:type="spellStart"/>
      <w:r w:rsidRPr="0084442E">
        <w:rPr>
          <w:b/>
          <w:i/>
          <w:color w:val="auto"/>
        </w:rPr>
        <w:t>OeNB</w:t>
      </w:r>
      <w:proofErr w:type="spellEnd"/>
      <w:r w:rsidRPr="0084442E">
        <w:rPr>
          <w:b/>
          <w:i/>
          <w:color w:val="auto"/>
        </w:rPr>
        <w:t xml:space="preserve">). Erbschaften sind leistungsfreie Einkommen für </w:t>
      </w:r>
      <w:proofErr w:type="spellStart"/>
      <w:r w:rsidRPr="0084442E">
        <w:rPr>
          <w:b/>
          <w:i/>
          <w:color w:val="auto"/>
        </w:rPr>
        <w:t>ErbInnen</w:t>
      </w:r>
      <w:proofErr w:type="spellEnd"/>
      <w:r w:rsidRPr="0084442E">
        <w:rPr>
          <w:b/>
          <w:i/>
          <w:color w:val="auto"/>
        </w:rPr>
        <w:t>, die derzeit keiner Besteuerung unterliegen, egal welche Größe die Erbschaften haben. Allerdings gibt es „indirekte Erbschaftssteuern“ –  wird jemand zum Pflegefall im Alter, so kann die öffentliche Hand durch Regressregeln auf das Vermögen der Betroffenen zur Finanzierung der Pflege zugreifen. Davon betroffen sind in erster Linie Personen, die kleine Erbschaften hinterlassen könnten. Diese Situation verschärft somit die Schieflage bei den Erbschaften noch einmal. Nicht wenig überraschend setzt sich die Ungleichverteilung im Bereich des Grundbesitzes fort. Das Zivilgesellschaftliche Zukunftsbudget schlägt daher auch eine Reform der Grundsteuer vor. Trotz fehlender Datenlage ist davon auszugehen, dass das Vermögen zwischen den Geschlechtern ebenfalls ungleich verteilt ist. Vermögensbezogene Steuern können somit zu mehr Geschlechtergerechtigkeit beitragen, u.  a. weil aus den zusätzlichen Steuereinnahmen Sachleistungen wie z. B. der Ausbau der Pflege- und Kinderbetreuungseinrichtungen finanziert werden könnten, was vor allem Frauen zu Gute kommen würde.</w:t>
      </w:r>
    </w:p>
    <w:p w:rsidR="00E935B0" w:rsidRPr="00E935B0" w:rsidRDefault="00E935B0" w:rsidP="00E935B0">
      <w:pPr>
        <w:pStyle w:val="ZGBFlietext"/>
      </w:pPr>
    </w:p>
    <w:p w:rsidR="00E935B0" w:rsidRDefault="00E935B0" w:rsidP="00E935B0">
      <w:pPr>
        <w:pStyle w:val="ZGBManahme"/>
      </w:pPr>
      <w:r w:rsidRPr="00E935B0">
        <w:t>Vermögenssteuer für große Vermögen</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 xml:space="preserve">Wir schlagen eine Vermögenssteuer vor, die auf das Finanz- und Immobilienvermögen eingehoben wird. „Hausrat“ (das sind bewegliche Gegenstände wie z. B. Schmuck, Bilder, Autos) – ist von dieser Vermögenssteuer ausgenommen. Pro Haushalt gilt ein Freibetrag von 500.000 Euro Nettovermögen (Nettovermögen = vorhandenes Geld- und Immobilienvermögen abzüglich der Schulden). Die ersten 500.000 Euro sind pro Haushalt also steuerfrei, ab dann wird Vermögen mit einem Steuersatz belegt, der bei 0,25% beginnt und – je höher das Vermögen ist – bis auf 1,45% ansteigt. Das würde jährlich rund 3,5 Mrd. Euro bringen. </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Unternehmen sind von der Vermögenssteuer ausgenommen. Die Unternehmensanteile, die eine Person, ein Haushalt oder eine Stiftung an einem Unternehmen hält, sind dann in einer Vermögensteuererklärung zu berücksichtigen, wenn dieses Unternehmen bilanzpflichtig ist. Anteile an Unternehmen mit einer Einnahmen-/Ausgabenrechnung fallen nicht darunter.</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 xml:space="preserve"> </w:t>
      </w: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 xml:space="preserve">Vor der Einführung einer Vermögenssteuer bedarf es folgender notwendiger Begleitmaßnahmen: </w:t>
      </w:r>
    </w:p>
    <w:p w:rsidR="0084442E" w:rsidRPr="0084442E" w:rsidRDefault="0084442E" w:rsidP="0084442E">
      <w:pPr>
        <w:pStyle w:val="ZGBManahme"/>
        <w:numPr>
          <w:ilvl w:val="0"/>
          <w:numId w:val="18"/>
        </w:numPr>
        <w:rPr>
          <w:rFonts w:cs="MinionPro-Regular"/>
          <w:b w:val="0"/>
          <w:bCs w:val="0"/>
          <w:color w:val="000000" w:themeColor="text1"/>
          <w:sz w:val="22"/>
          <w:szCs w:val="22"/>
        </w:rPr>
      </w:pPr>
      <w:r w:rsidRPr="0084442E">
        <w:rPr>
          <w:rFonts w:cs="MinionPro-Regular"/>
          <w:b w:val="0"/>
          <w:bCs w:val="0"/>
          <w:color w:val="000000" w:themeColor="text1"/>
          <w:sz w:val="22"/>
          <w:szCs w:val="22"/>
        </w:rPr>
        <w:t>die Festlegung des Bewertungsverfahrens</w:t>
      </w:r>
    </w:p>
    <w:p w:rsidR="0084442E" w:rsidRPr="0084442E" w:rsidRDefault="0084442E" w:rsidP="0084442E">
      <w:pPr>
        <w:pStyle w:val="ZGBManahme"/>
        <w:numPr>
          <w:ilvl w:val="0"/>
          <w:numId w:val="18"/>
        </w:numPr>
        <w:rPr>
          <w:rFonts w:cs="MinionPro-Regular"/>
          <w:b w:val="0"/>
          <w:bCs w:val="0"/>
          <w:color w:val="000000" w:themeColor="text1"/>
          <w:sz w:val="22"/>
          <w:szCs w:val="22"/>
        </w:rPr>
      </w:pPr>
      <w:r w:rsidRPr="0084442E">
        <w:rPr>
          <w:rFonts w:cs="MinionPro-Regular"/>
          <w:b w:val="0"/>
          <w:bCs w:val="0"/>
          <w:color w:val="000000" w:themeColor="text1"/>
          <w:sz w:val="22"/>
          <w:szCs w:val="22"/>
        </w:rPr>
        <w:t>das Auskunftsrecht der Finanzverwaltung gegenüber Banken</w:t>
      </w:r>
    </w:p>
    <w:p w:rsidR="0084442E" w:rsidRPr="0084442E" w:rsidRDefault="0084442E" w:rsidP="0084442E">
      <w:pPr>
        <w:pStyle w:val="ZGBManahme"/>
        <w:numPr>
          <w:ilvl w:val="0"/>
          <w:numId w:val="18"/>
        </w:numPr>
        <w:rPr>
          <w:rFonts w:cs="MinionPro-Regular"/>
          <w:b w:val="0"/>
          <w:bCs w:val="0"/>
          <w:color w:val="000000" w:themeColor="text1"/>
          <w:sz w:val="22"/>
          <w:szCs w:val="22"/>
        </w:rPr>
      </w:pPr>
      <w:r w:rsidRPr="0084442E">
        <w:rPr>
          <w:rFonts w:cs="MinionPro-Regular"/>
          <w:b w:val="0"/>
          <w:bCs w:val="0"/>
          <w:color w:val="000000" w:themeColor="text1"/>
          <w:sz w:val="22"/>
          <w:szCs w:val="22"/>
        </w:rPr>
        <w:t xml:space="preserve">die Schulung von </w:t>
      </w:r>
      <w:proofErr w:type="spellStart"/>
      <w:r w:rsidRPr="0084442E">
        <w:rPr>
          <w:rFonts w:cs="MinionPro-Regular"/>
          <w:b w:val="0"/>
          <w:bCs w:val="0"/>
          <w:color w:val="000000" w:themeColor="text1"/>
          <w:sz w:val="22"/>
          <w:szCs w:val="22"/>
        </w:rPr>
        <w:t>FinanzbeamtInnen</w:t>
      </w:r>
      <w:proofErr w:type="spellEnd"/>
      <w:r w:rsidRPr="0084442E">
        <w:rPr>
          <w:rFonts w:cs="MinionPro-Regular"/>
          <w:b w:val="0"/>
          <w:bCs w:val="0"/>
          <w:color w:val="000000" w:themeColor="text1"/>
          <w:sz w:val="22"/>
          <w:szCs w:val="22"/>
        </w:rPr>
        <w:t>.</w:t>
      </w:r>
    </w:p>
    <w:p w:rsidR="0084442E" w:rsidRPr="0084442E" w:rsidRDefault="0084442E" w:rsidP="0084442E">
      <w:pPr>
        <w:pStyle w:val="ZGBManahme"/>
        <w:rPr>
          <w:rFonts w:cs="MinionPro-Regular"/>
          <w:b w:val="0"/>
          <w:bCs w:val="0"/>
          <w:color w:val="000000" w:themeColor="text1"/>
          <w:sz w:val="22"/>
          <w:szCs w:val="22"/>
        </w:rPr>
      </w:pP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So kann die Vermögenssteuer umgesetzt werden:</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Die Vermögensteuererklärung soll jeweils bis zum 30. Juni eines Kalenderjahres erfolgen.</w:t>
      </w:r>
    </w:p>
    <w:p w:rsidR="0084442E" w:rsidRPr="0084442E" w:rsidRDefault="0084442E" w:rsidP="0084442E">
      <w:pPr>
        <w:pStyle w:val="ZGBManahme"/>
        <w:numPr>
          <w:ilvl w:val="0"/>
          <w:numId w:val="37"/>
        </w:numPr>
        <w:rPr>
          <w:rFonts w:cs="MinionPro-Regular"/>
          <w:b w:val="0"/>
          <w:bCs w:val="0"/>
          <w:color w:val="000000" w:themeColor="text1"/>
          <w:sz w:val="22"/>
          <w:szCs w:val="22"/>
        </w:rPr>
      </w:pPr>
      <w:r w:rsidRPr="0084442E">
        <w:rPr>
          <w:rFonts w:cs="MinionPro-Regular"/>
          <w:b w:val="0"/>
          <w:bCs w:val="0"/>
          <w:color w:val="000000" w:themeColor="text1"/>
          <w:sz w:val="22"/>
          <w:szCs w:val="22"/>
        </w:rPr>
        <w:t>Für die Bewertung des Geldvermögens (Wertpapiere) wird jeweils dessen Wert am 31. Dezember des vorangegangenen Jahres herangezogen.</w:t>
      </w:r>
    </w:p>
    <w:p w:rsidR="0084442E" w:rsidRPr="0084442E" w:rsidRDefault="0084442E" w:rsidP="0084442E">
      <w:pPr>
        <w:pStyle w:val="ZGBManahme"/>
        <w:numPr>
          <w:ilvl w:val="0"/>
          <w:numId w:val="37"/>
        </w:numPr>
        <w:rPr>
          <w:rFonts w:cs="MinionPro-Regular"/>
          <w:b w:val="0"/>
          <w:bCs w:val="0"/>
          <w:color w:val="000000" w:themeColor="text1"/>
          <w:sz w:val="22"/>
          <w:szCs w:val="22"/>
        </w:rPr>
      </w:pPr>
      <w:r w:rsidRPr="0084442E">
        <w:rPr>
          <w:rFonts w:cs="MinionPro-Regular"/>
          <w:b w:val="0"/>
          <w:bCs w:val="0"/>
          <w:color w:val="000000" w:themeColor="text1"/>
          <w:sz w:val="22"/>
          <w:szCs w:val="22"/>
        </w:rPr>
        <w:t>Das Bewertungsgesetz ist anzupassen; insbesondere ist festzulegen, welches der anerkannten Bewertungsverfahren zur Feststellung des gemeinen Wertes (Verkehrswertes) von Immobilien und deren Lasten anzuwenden ist.</w:t>
      </w:r>
    </w:p>
    <w:p w:rsidR="0084442E" w:rsidRPr="0084442E" w:rsidRDefault="0084442E" w:rsidP="0084442E">
      <w:pPr>
        <w:pStyle w:val="ZGBManahme"/>
        <w:numPr>
          <w:ilvl w:val="0"/>
          <w:numId w:val="37"/>
        </w:numPr>
        <w:rPr>
          <w:rFonts w:cs="MinionPro-Regular"/>
          <w:b w:val="0"/>
          <w:bCs w:val="0"/>
          <w:color w:val="000000" w:themeColor="text1"/>
          <w:sz w:val="22"/>
          <w:szCs w:val="22"/>
        </w:rPr>
      </w:pPr>
      <w:r w:rsidRPr="0084442E">
        <w:rPr>
          <w:rFonts w:cs="MinionPro-Regular"/>
          <w:b w:val="0"/>
          <w:bCs w:val="0"/>
          <w:color w:val="000000" w:themeColor="text1"/>
          <w:sz w:val="22"/>
          <w:szCs w:val="22"/>
        </w:rPr>
        <w:lastRenderedPageBreak/>
        <w:t xml:space="preserve">Die Bewertung des Immobilienvermögens ist von dem/der Steuerpflichtigen ebenfalls bis 30. Juni des Kalenderjahres vorzunehmen, natürlich nur, wenn das Gesamtvermögen eines Haushaltes den Freibetrag von 500.000 Euro übersteigt. Bewertungen sollen alle 5 Jahre erfolgen; für die Jahre dazwischen kann für die Wertanpassung der Immobilienpreisindex verwendet werden. </w:t>
      </w:r>
    </w:p>
    <w:p w:rsidR="0084442E" w:rsidRPr="0084442E" w:rsidRDefault="0084442E" w:rsidP="0084442E">
      <w:pPr>
        <w:pStyle w:val="ZGBManahme"/>
        <w:rPr>
          <w:rFonts w:cs="MinionPro-Regular"/>
          <w:b w:val="0"/>
          <w:bCs w:val="0"/>
          <w:color w:val="000000" w:themeColor="text1"/>
          <w:sz w:val="22"/>
          <w:szCs w:val="22"/>
        </w:rPr>
      </w:pPr>
    </w:p>
    <w:p w:rsid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Die Vermögenssteuer würde keine zusätzlichen Verwaltungskosten bringen, da sie – wie andere Steuern auch – eine Selbstbemessungsabgabe ist. Das bedeutet, dass die Steuerpflichtigen selbst eine Steuererklärung abgeben (wie auch bei der Einkommensteuer oder Mehrwertsteuer üblich). Das Finanzamt prüft dann, wie auch in anderen Fällen, auf der Basis von Stichproben die Steuererklärung.</w:t>
      </w:r>
    </w:p>
    <w:p w:rsidR="0084442E" w:rsidRDefault="0084442E" w:rsidP="0084442E">
      <w:pPr>
        <w:pStyle w:val="ZGBManahme"/>
        <w:rPr>
          <w:rFonts w:cs="MinionPro-Regular"/>
          <w:b w:val="0"/>
          <w:bCs w:val="0"/>
          <w:color w:val="000000" w:themeColor="text1"/>
          <w:sz w:val="22"/>
          <w:szCs w:val="22"/>
        </w:rPr>
      </w:pPr>
    </w:p>
    <w:p w:rsidR="00E935B0" w:rsidRDefault="0084442E" w:rsidP="0084442E">
      <w:pPr>
        <w:pStyle w:val="ZGBManahme"/>
      </w:pPr>
      <w:r w:rsidRPr="0084442E">
        <w:rPr>
          <w:rFonts w:cs="MinionPro-Regular"/>
          <w:b w:val="0"/>
          <w:bCs w:val="0"/>
          <w:color w:val="000000" w:themeColor="text1"/>
          <w:sz w:val="22"/>
          <w:szCs w:val="22"/>
        </w:rPr>
        <w:t xml:space="preserve"> </w:t>
      </w:r>
      <w:r w:rsidR="00E935B0" w:rsidRPr="00E935B0">
        <w:t xml:space="preserve">Erbschafts- und Schenkungssteuer </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Bis 2007 gab es in Österreich eine Erbschafts- und Schenkungssteuer. Diese wird seit dem Urteil des Verfassungsgerichtshofes vom März 2007 nicht mehr erhoben. Der Verfassungsgerichtshof stellte jedoch nicht die Erbschaftssteuer selbst infrage, sondern bemängelte die ungleichen Bewertungsmethoden der verschiedenen Vermögensformen. Die Frist zur Reparatur der Erbschaftssteuer wurde jedoch von der damaligen Bundesregierung nicht genutzt.</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Aufgrund der ungleichen Vermögensverteilung und des Umstands, dass Erben oder Schenken eines Geld-, Immobilien- oder Unternehmensvermögens ein leistungsloses Einkommen für die beschenkte oder erbende Person bedeutet, schlagen wir die Einführung einer Erbschafts- und Schenkungssteuer vor, die stufenweise mit der Höhe der Erbschaft steigt. Damit sollen folgende Ziele erreicht werden:</w:t>
      </w:r>
    </w:p>
    <w:p w:rsidR="0084442E" w:rsidRPr="0084442E" w:rsidRDefault="0084442E" w:rsidP="0084442E">
      <w:pPr>
        <w:pStyle w:val="ZGBManahme"/>
        <w:numPr>
          <w:ilvl w:val="0"/>
          <w:numId w:val="38"/>
        </w:numPr>
        <w:rPr>
          <w:rFonts w:cs="MinionPro-Regular"/>
          <w:b w:val="0"/>
          <w:bCs w:val="0"/>
          <w:color w:val="000000" w:themeColor="text1"/>
          <w:sz w:val="22"/>
          <w:szCs w:val="22"/>
        </w:rPr>
      </w:pPr>
      <w:r w:rsidRPr="0084442E">
        <w:rPr>
          <w:rFonts w:cs="MinionPro-Regular"/>
          <w:b w:val="0"/>
          <w:bCs w:val="0"/>
          <w:color w:val="000000" w:themeColor="text1"/>
          <w:sz w:val="22"/>
          <w:szCs w:val="22"/>
        </w:rPr>
        <w:t xml:space="preserve">die Besteuerung leistungsloser Einkommen </w:t>
      </w:r>
    </w:p>
    <w:p w:rsidR="0084442E" w:rsidRPr="0084442E" w:rsidRDefault="0084442E" w:rsidP="0084442E">
      <w:pPr>
        <w:pStyle w:val="ZGBManahme"/>
        <w:numPr>
          <w:ilvl w:val="0"/>
          <w:numId w:val="38"/>
        </w:numPr>
        <w:rPr>
          <w:rFonts w:cs="MinionPro-Regular"/>
          <w:b w:val="0"/>
          <w:bCs w:val="0"/>
          <w:color w:val="000000" w:themeColor="text1"/>
          <w:sz w:val="22"/>
          <w:szCs w:val="22"/>
        </w:rPr>
      </w:pPr>
      <w:r w:rsidRPr="0084442E">
        <w:rPr>
          <w:rFonts w:cs="MinionPro-Regular"/>
          <w:b w:val="0"/>
          <w:bCs w:val="0"/>
          <w:color w:val="000000" w:themeColor="text1"/>
          <w:sz w:val="22"/>
          <w:szCs w:val="22"/>
        </w:rPr>
        <w:t>die Reduzierung der Schere zwischen Arm und Reich</w:t>
      </w:r>
    </w:p>
    <w:p w:rsidR="0084442E" w:rsidRPr="0084442E" w:rsidRDefault="0084442E" w:rsidP="0084442E">
      <w:pPr>
        <w:pStyle w:val="ZGBManahme"/>
        <w:numPr>
          <w:ilvl w:val="0"/>
          <w:numId w:val="38"/>
        </w:numPr>
        <w:rPr>
          <w:rFonts w:cs="MinionPro-Regular"/>
          <w:b w:val="0"/>
          <w:bCs w:val="0"/>
          <w:color w:val="000000" w:themeColor="text1"/>
          <w:sz w:val="22"/>
          <w:szCs w:val="22"/>
        </w:rPr>
      </w:pPr>
      <w:r w:rsidRPr="0084442E">
        <w:rPr>
          <w:rFonts w:cs="MinionPro-Regular"/>
          <w:b w:val="0"/>
          <w:bCs w:val="0"/>
          <w:color w:val="000000" w:themeColor="text1"/>
          <w:sz w:val="22"/>
          <w:szCs w:val="22"/>
        </w:rPr>
        <w:t xml:space="preserve">die Aufbringung von finanziellen Mitteln zur langfristigen Absicherung einer qualitativ hochwertigen Pflege für alle Menschen in Österreich. </w:t>
      </w:r>
    </w:p>
    <w:p w:rsidR="0084442E" w:rsidRPr="0084442E" w:rsidRDefault="0084442E" w:rsidP="0084442E">
      <w:pPr>
        <w:pStyle w:val="ZGBManahme"/>
        <w:rPr>
          <w:rFonts w:cs="MinionPro-Regular"/>
          <w:b w:val="0"/>
          <w:bCs w:val="0"/>
          <w:color w:val="000000" w:themeColor="text1"/>
          <w:sz w:val="22"/>
          <w:szCs w:val="22"/>
        </w:rPr>
      </w:pP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Gestaltung der Erbschafts- und Schenkungssteuer</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 xml:space="preserve">Wie bei der Vermögensteuer geht es darum, über Freibeträge v.a. große Erbschaften bzw. Schenkungen mit der Steuer zu erfassen. Je nach Verwandtschaftsgrad gibt es unterschiedliche Freibeträge (200.000 Euro für </w:t>
      </w:r>
      <w:proofErr w:type="spellStart"/>
      <w:r w:rsidRPr="0084442E">
        <w:rPr>
          <w:rFonts w:cs="MinionPro-Regular"/>
          <w:b w:val="0"/>
          <w:bCs w:val="0"/>
          <w:color w:val="000000" w:themeColor="text1"/>
          <w:sz w:val="22"/>
          <w:szCs w:val="22"/>
        </w:rPr>
        <w:t>EhegattInnen</w:t>
      </w:r>
      <w:proofErr w:type="spellEnd"/>
      <w:r w:rsidRPr="0084442E">
        <w:rPr>
          <w:rFonts w:cs="MinionPro-Regular"/>
          <w:b w:val="0"/>
          <w:bCs w:val="0"/>
          <w:color w:val="000000" w:themeColor="text1"/>
          <w:sz w:val="22"/>
          <w:szCs w:val="22"/>
        </w:rPr>
        <w:t xml:space="preserve">, Kinder, Enkelkinder; 100.000 Euro für sonstige </w:t>
      </w:r>
      <w:proofErr w:type="spellStart"/>
      <w:r w:rsidRPr="0084442E">
        <w:rPr>
          <w:rFonts w:cs="MinionPro-Regular"/>
          <w:b w:val="0"/>
          <w:bCs w:val="0"/>
          <w:color w:val="000000" w:themeColor="text1"/>
          <w:sz w:val="22"/>
          <w:szCs w:val="22"/>
        </w:rPr>
        <w:t>ErbInnen</w:t>
      </w:r>
      <w:proofErr w:type="spellEnd"/>
      <w:r w:rsidRPr="0084442E">
        <w:rPr>
          <w:rFonts w:cs="MinionPro-Regular"/>
          <w:b w:val="0"/>
          <w:bCs w:val="0"/>
          <w:color w:val="000000" w:themeColor="text1"/>
          <w:sz w:val="22"/>
          <w:szCs w:val="22"/>
        </w:rPr>
        <w:t xml:space="preserve"> und 300.000 Euro bei Unternehmensübertragungen). Die Steuertarife bewegen sich zwischen 4% und 20%. Je größer das vererbte Vermögen, desto höher ist die Steuer. Vermögen über 10 Mio. Euro werden mit 60% besteuert. Der Freibetrag von 200.000 Euro für </w:t>
      </w:r>
      <w:proofErr w:type="spellStart"/>
      <w:r w:rsidRPr="0084442E">
        <w:rPr>
          <w:rFonts w:cs="MinionPro-Regular"/>
          <w:b w:val="0"/>
          <w:bCs w:val="0"/>
          <w:color w:val="000000" w:themeColor="text1"/>
          <w:sz w:val="22"/>
          <w:szCs w:val="22"/>
        </w:rPr>
        <w:t>EhegattInnen</w:t>
      </w:r>
      <w:proofErr w:type="spellEnd"/>
      <w:r w:rsidRPr="0084442E">
        <w:rPr>
          <w:rFonts w:cs="MinionPro-Regular"/>
          <w:b w:val="0"/>
          <w:bCs w:val="0"/>
          <w:color w:val="000000" w:themeColor="text1"/>
          <w:sz w:val="22"/>
          <w:szCs w:val="22"/>
        </w:rPr>
        <w:t>, Kinder, Enkelkinder entspricht dem Medianwert des Immobilienbesitzes am Hauptwohnsitz jener Haushalte, die über Immobilienvermögen verfügen. Die Freibeträge beziehen sich auf das Nettovermögen, welches vererbt oder geschenkt wird, also das vorhandene Vermögen minus vorhandener Schulden. Alle Arten von Vermögen, die vererbt oder verschenkt werden können, werden in die Berechnung der Erbschafts- bzw. Schenkungssteuer miteinbezogen – auch das Vermögen von Privatstiftungen und Finanzvermögen. Hausrat bis zu einem Wert von 10.000 Euro ist ausgenommen.</w:t>
      </w:r>
    </w:p>
    <w:p w:rsidR="0084442E" w:rsidRPr="0084442E" w:rsidRDefault="0084442E" w:rsidP="0084442E">
      <w:pPr>
        <w:pStyle w:val="ZGBManahme"/>
        <w:rPr>
          <w:rFonts w:cs="MinionPro-Regular"/>
          <w:b w:val="0"/>
          <w:bCs w:val="0"/>
          <w:color w:val="000000" w:themeColor="text1"/>
          <w:sz w:val="22"/>
          <w:szCs w:val="22"/>
        </w:rPr>
      </w:pP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Vererbung/Verschenkung von Unternehmen(</w:t>
      </w:r>
      <w:proofErr w:type="spellStart"/>
      <w:r w:rsidRPr="0084442E">
        <w:rPr>
          <w:rFonts w:cs="MinionPro-Regular"/>
          <w:b w:val="0"/>
          <w:bCs w:val="0"/>
          <w:color w:val="000000" w:themeColor="text1"/>
          <w:sz w:val="22"/>
          <w:szCs w:val="22"/>
          <w:u w:val="single"/>
        </w:rPr>
        <w:t>santeilen</w:t>
      </w:r>
      <w:proofErr w:type="spellEnd"/>
      <w:r w:rsidRPr="0084442E">
        <w:rPr>
          <w:rFonts w:cs="MinionPro-Regular"/>
          <w:b w:val="0"/>
          <w:bCs w:val="0"/>
          <w:color w:val="000000" w:themeColor="text1"/>
          <w:sz w:val="22"/>
          <w:szCs w:val="22"/>
          <w:u w:val="single"/>
        </w:rPr>
        <w:t>)</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 xml:space="preserve">Im Falle der Vererbung/Schenkung von Unternehmensanteilen ist es uns ein Anliegen, dass trotz einer Erbschafts- oder Schenkungssteuer das Unternehmen weiterhin bestehen kann und damit Arbeitsplätze erhalten und gesichert werden können bzw. Unternehmensanteile aufgrund von Liquiditätsproblemen nicht verkauft werden müssen. </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Daher gelten folgende Regeln:</w:t>
      </w:r>
    </w:p>
    <w:p w:rsidR="0084442E" w:rsidRPr="0084442E" w:rsidRDefault="0084442E" w:rsidP="0084442E">
      <w:pPr>
        <w:pStyle w:val="ZGBManahme"/>
        <w:numPr>
          <w:ilvl w:val="0"/>
          <w:numId w:val="39"/>
        </w:numPr>
        <w:rPr>
          <w:rFonts w:cs="MinionPro-Regular"/>
          <w:b w:val="0"/>
          <w:bCs w:val="0"/>
          <w:color w:val="000000" w:themeColor="text1"/>
          <w:sz w:val="22"/>
          <w:szCs w:val="22"/>
        </w:rPr>
      </w:pPr>
      <w:r w:rsidRPr="0084442E">
        <w:rPr>
          <w:rFonts w:cs="MinionPro-Regular"/>
          <w:b w:val="0"/>
          <w:bCs w:val="0"/>
          <w:color w:val="000000" w:themeColor="text1"/>
          <w:sz w:val="22"/>
          <w:szCs w:val="22"/>
        </w:rPr>
        <w:t xml:space="preserve">Klein- und Mittelbetriebe (bis zu 50 </w:t>
      </w:r>
      <w:proofErr w:type="spellStart"/>
      <w:r w:rsidRPr="0084442E">
        <w:rPr>
          <w:rFonts w:cs="MinionPro-Regular"/>
          <w:b w:val="0"/>
          <w:bCs w:val="0"/>
          <w:color w:val="000000" w:themeColor="text1"/>
          <w:sz w:val="22"/>
          <w:szCs w:val="22"/>
        </w:rPr>
        <w:t>MitarbeiterInnen</w:t>
      </w:r>
      <w:proofErr w:type="spellEnd"/>
      <w:r w:rsidRPr="0084442E">
        <w:rPr>
          <w:rFonts w:cs="MinionPro-Regular"/>
          <w:b w:val="0"/>
          <w:bCs w:val="0"/>
          <w:color w:val="000000" w:themeColor="text1"/>
          <w:sz w:val="22"/>
          <w:szCs w:val="22"/>
        </w:rPr>
        <w:t xml:space="preserve">, 10 Mio. Euro Umsatz/Bilanzsumme) inkl. landwirtschaftlicher Betriebe: Sofern die/der </w:t>
      </w:r>
      <w:proofErr w:type="spellStart"/>
      <w:r w:rsidRPr="0084442E">
        <w:rPr>
          <w:rFonts w:cs="MinionPro-Regular"/>
          <w:b w:val="0"/>
          <w:bCs w:val="0"/>
          <w:color w:val="000000" w:themeColor="text1"/>
          <w:sz w:val="22"/>
          <w:szCs w:val="22"/>
        </w:rPr>
        <w:t>ErblasserIn</w:t>
      </w:r>
      <w:proofErr w:type="spellEnd"/>
      <w:r w:rsidRPr="0084442E">
        <w:rPr>
          <w:rFonts w:cs="MinionPro-Regular"/>
          <w:b w:val="0"/>
          <w:bCs w:val="0"/>
          <w:color w:val="000000" w:themeColor="text1"/>
          <w:sz w:val="22"/>
          <w:szCs w:val="22"/>
        </w:rPr>
        <w:t xml:space="preserve"> mindestens 50 % der Unternehmensanteile bzw. des Unternehmenswertes vererbt, gibt es einen Freibetrag von 300.000 Euro. Die Erbschafts-/Schenkungssteuer ist auf der Basis der obigen Stufentarife zu errechnen.</w:t>
      </w:r>
    </w:p>
    <w:p w:rsidR="0084442E" w:rsidRPr="0084442E" w:rsidRDefault="0084442E" w:rsidP="0084442E">
      <w:pPr>
        <w:pStyle w:val="ZGBManahme"/>
        <w:numPr>
          <w:ilvl w:val="0"/>
          <w:numId w:val="39"/>
        </w:numPr>
        <w:rPr>
          <w:rFonts w:cs="MinionPro-Regular"/>
          <w:b w:val="0"/>
          <w:bCs w:val="0"/>
          <w:color w:val="000000" w:themeColor="text1"/>
          <w:sz w:val="22"/>
          <w:szCs w:val="22"/>
        </w:rPr>
      </w:pPr>
      <w:r w:rsidRPr="0084442E">
        <w:rPr>
          <w:rFonts w:cs="MinionPro-Regular"/>
          <w:b w:val="0"/>
          <w:bCs w:val="0"/>
          <w:color w:val="000000" w:themeColor="text1"/>
          <w:sz w:val="22"/>
          <w:szCs w:val="22"/>
        </w:rPr>
        <w:t xml:space="preserve">Großunternehmen, die nicht im Streubesitz sind: Für Großunternehmen, die zu mindestens 25% in der Hand der/des </w:t>
      </w:r>
      <w:proofErr w:type="spellStart"/>
      <w:r w:rsidRPr="0084442E">
        <w:rPr>
          <w:rFonts w:cs="MinionPro-Regular"/>
          <w:b w:val="0"/>
          <w:bCs w:val="0"/>
          <w:color w:val="000000" w:themeColor="text1"/>
          <w:sz w:val="22"/>
          <w:szCs w:val="22"/>
        </w:rPr>
        <w:t>ErblasserIn</w:t>
      </w:r>
      <w:proofErr w:type="spellEnd"/>
      <w:r w:rsidRPr="0084442E">
        <w:rPr>
          <w:rFonts w:cs="MinionPro-Regular"/>
          <w:b w:val="0"/>
          <w:bCs w:val="0"/>
          <w:color w:val="000000" w:themeColor="text1"/>
          <w:sz w:val="22"/>
          <w:szCs w:val="22"/>
        </w:rPr>
        <w:t xml:space="preserve"> waren und vererbt werden, gilt: Sofern der/die neue </w:t>
      </w:r>
      <w:proofErr w:type="spellStart"/>
      <w:r w:rsidRPr="0084442E">
        <w:rPr>
          <w:rFonts w:cs="MinionPro-Regular"/>
          <w:b w:val="0"/>
          <w:bCs w:val="0"/>
          <w:color w:val="000000" w:themeColor="text1"/>
          <w:sz w:val="22"/>
          <w:szCs w:val="22"/>
        </w:rPr>
        <w:t>InhaberIn</w:t>
      </w:r>
      <w:proofErr w:type="spellEnd"/>
      <w:r w:rsidRPr="0084442E">
        <w:rPr>
          <w:rFonts w:cs="MinionPro-Regular"/>
          <w:b w:val="0"/>
          <w:bCs w:val="0"/>
          <w:color w:val="000000" w:themeColor="text1"/>
          <w:sz w:val="22"/>
          <w:szCs w:val="22"/>
        </w:rPr>
        <w:t xml:space="preserve"> der Beteiligungen auch weiterhin der/die </w:t>
      </w:r>
      <w:proofErr w:type="spellStart"/>
      <w:r w:rsidRPr="0084442E">
        <w:rPr>
          <w:rFonts w:cs="MinionPro-Regular"/>
          <w:b w:val="0"/>
          <w:bCs w:val="0"/>
          <w:color w:val="000000" w:themeColor="text1"/>
          <w:sz w:val="22"/>
          <w:szCs w:val="22"/>
        </w:rPr>
        <w:t>UnternehmerIn</w:t>
      </w:r>
      <w:proofErr w:type="spellEnd"/>
      <w:r w:rsidRPr="0084442E">
        <w:rPr>
          <w:rFonts w:cs="MinionPro-Regular"/>
          <w:b w:val="0"/>
          <w:bCs w:val="0"/>
          <w:color w:val="000000" w:themeColor="text1"/>
          <w:sz w:val="22"/>
          <w:szCs w:val="22"/>
        </w:rPr>
        <w:t xml:space="preserve"> ist, und der operative Einfluss auf Entscheidungen gegeben ist (mind. 25% Beteiligung), ist der maximale Steuersatz für die Erbschafts- bzw. Schenkungssteuer 20%. Auch hier gilt der Freibetrag von 300.000 Euro. Bei Verkauf der </w:t>
      </w:r>
      <w:r w:rsidRPr="0084442E">
        <w:rPr>
          <w:rFonts w:cs="MinionPro-Regular"/>
          <w:b w:val="0"/>
          <w:bCs w:val="0"/>
          <w:color w:val="000000" w:themeColor="text1"/>
          <w:sz w:val="22"/>
          <w:szCs w:val="22"/>
        </w:rPr>
        <w:lastRenderedPageBreak/>
        <w:t>Unternehmensanteile entfällt der Freibetrag. Bis zur Höhe des Verkaufserlöses wird die volle Erbschaftssteuer sofort fällig.</w:t>
      </w:r>
    </w:p>
    <w:p w:rsidR="0084442E" w:rsidRPr="0084442E" w:rsidRDefault="0084442E" w:rsidP="0084442E">
      <w:pPr>
        <w:pStyle w:val="ZGBManahme"/>
        <w:rPr>
          <w:rFonts w:cs="MinionPro-Regular"/>
          <w:b w:val="0"/>
          <w:bCs w:val="0"/>
          <w:color w:val="000000" w:themeColor="text1"/>
          <w:sz w:val="22"/>
          <w:szCs w:val="22"/>
        </w:rPr>
      </w:pPr>
    </w:p>
    <w:p w:rsid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Bewertung, Entrichtung der Erbschafts- und Schenkungssteuer</w:t>
      </w: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rPr>
        <w:t xml:space="preserve">Die Bewertung der Erbschaft/Schenkung erfolgt durch das Wiener Verfahren. Sofern die Erbschafts- und Schenkungssteuer den Betrag von 10.000 Euro übersteigt, ist auf Antrag eine Ratenzahlung auf 10 Jahre möglich. Das gilt auch bei der Übertragung von Unternehmensanteilen. </w:t>
      </w:r>
    </w:p>
    <w:p w:rsidR="0084442E" w:rsidRPr="0084442E" w:rsidRDefault="0084442E" w:rsidP="0084442E">
      <w:pPr>
        <w:pStyle w:val="ZGBManahme"/>
        <w:rPr>
          <w:rFonts w:cs="MinionPro-Regular"/>
          <w:b w:val="0"/>
          <w:bCs w:val="0"/>
          <w:color w:val="000000" w:themeColor="text1"/>
          <w:sz w:val="22"/>
          <w:szCs w:val="22"/>
        </w:rPr>
      </w:pP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Begleitmaßnahmen</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Für eine erfolgreiche Umsetzung der progressiven Erbschafts- und Schenkungssteuer braucht es zusätzlich folgende Begleitmaßnahmen:</w:t>
      </w:r>
    </w:p>
    <w:p w:rsidR="0084442E" w:rsidRPr="0084442E" w:rsidRDefault="0084442E" w:rsidP="0084442E">
      <w:pPr>
        <w:pStyle w:val="ZGBManahme"/>
        <w:numPr>
          <w:ilvl w:val="0"/>
          <w:numId w:val="40"/>
        </w:numPr>
        <w:rPr>
          <w:rFonts w:cs="MinionPro-Regular"/>
          <w:b w:val="0"/>
          <w:bCs w:val="0"/>
          <w:color w:val="000000" w:themeColor="text1"/>
          <w:sz w:val="22"/>
          <w:szCs w:val="22"/>
        </w:rPr>
      </w:pPr>
      <w:r w:rsidRPr="0084442E">
        <w:rPr>
          <w:rFonts w:cs="MinionPro-Regular"/>
          <w:b w:val="0"/>
          <w:bCs w:val="0"/>
          <w:color w:val="000000" w:themeColor="text1"/>
          <w:sz w:val="22"/>
          <w:szCs w:val="22"/>
        </w:rPr>
        <w:t>die Abschaffung der Endbesteuerungswirkung der Kapitalertragssteuer, d.  h. die Einbeziehung privater Finanzvermögen</w:t>
      </w:r>
    </w:p>
    <w:p w:rsidR="0084442E" w:rsidRPr="0084442E" w:rsidRDefault="0084442E" w:rsidP="0084442E">
      <w:pPr>
        <w:pStyle w:val="ZGBManahme"/>
        <w:numPr>
          <w:ilvl w:val="0"/>
          <w:numId w:val="40"/>
        </w:numPr>
        <w:rPr>
          <w:rFonts w:cs="MinionPro-Regular"/>
          <w:b w:val="0"/>
          <w:bCs w:val="0"/>
          <w:color w:val="000000" w:themeColor="text1"/>
          <w:sz w:val="22"/>
          <w:szCs w:val="22"/>
        </w:rPr>
      </w:pPr>
      <w:r w:rsidRPr="0084442E">
        <w:rPr>
          <w:rFonts w:cs="MinionPro-Regular"/>
          <w:b w:val="0"/>
          <w:bCs w:val="0"/>
          <w:color w:val="000000" w:themeColor="text1"/>
          <w:sz w:val="22"/>
          <w:szCs w:val="22"/>
        </w:rPr>
        <w:t>Auskunftsrecht der Finanzverwaltung gegenüber Banken</w:t>
      </w:r>
    </w:p>
    <w:p w:rsidR="0084442E" w:rsidRPr="0084442E" w:rsidRDefault="0084442E" w:rsidP="0084442E">
      <w:pPr>
        <w:pStyle w:val="ZGBManahme"/>
        <w:numPr>
          <w:ilvl w:val="0"/>
          <w:numId w:val="40"/>
        </w:numPr>
        <w:rPr>
          <w:rFonts w:cs="MinionPro-Regular"/>
          <w:b w:val="0"/>
          <w:bCs w:val="0"/>
          <w:color w:val="000000" w:themeColor="text1"/>
          <w:sz w:val="22"/>
          <w:szCs w:val="22"/>
        </w:rPr>
      </w:pPr>
      <w:r w:rsidRPr="0084442E">
        <w:rPr>
          <w:rFonts w:cs="MinionPro-Regular"/>
          <w:b w:val="0"/>
          <w:bCs w:val="0"/>
          <w:color w:val="000000" w:themeColor="text1"/>
          <w:sz w:val="22"/>
          <w:szCs w:val="22"/>
        </w:rPr>
        <w:t>die Festlegung des Bewertungsverfahrens</w:t>
      </w:r>
    </w:p>
    <w:p w:rsidR="0084442E" w:rsidRPr="0084442E" w:rsidRDefault="0084442E" w:rsidP="0084442E">
      <w:pPr>
        <w:pStyle w:val="ZGBManahme"/>
        <w:rPr>
          <w:rFonts w:cs="MinionPro-Regular"/>
          <w:b w:val="0"/>
          <w:bCs w:val="0"/>
          <w:color w:val="000000" w:themeColor="text1"/>
          <w:sz w:val="22"/>
          <w:szCs w:val="22"/>
        </w:rPr>
      </w:pPr>
    </w:p>
    <w:p w:rsidR="0084442E" w:rsidRPr="0084442E" w:rsidRDefault="0084442E" w:rsidP="0084442E">
      <w:pPr>
        <w:pStyle w:val="ZGBManahme"/>
        <w:rPr>
          <w:rFonts w:cs="MinionPro-Regular"/>
          <w:b w:val="0"/>
          <w:bCs w:val="0"/>
          <w:color w:val="000000" w:themeColor="text1"/>
          <w:sz w:val="22"/>
          <w:szCs w:val="22"/>
          <w:u w:val="single"/>
        </w:rPr>
      </w:pPr>
      <w:r w:rsidRPr="0084442E">
        <w:rPr>
          <w:rFonts w:cs="MinionPro-Regular"/>
          <w:b w:val="0"/>
          <w:bCs w:val="0"/>
          <w:color w:val="000000" w:themeColor="text1"/>
          <w:sz w:val="22"/>
          <w:szCs w:val="22"/>
          <w:u w:val="single"/>
        </w:rPr>
        <w:t>Erbersatzsteuer für Stiftungen</w:t>
      </w:r>
    </w:p>
    <w:p w:rsidR="0084442E" w:rsidRPr="0084442E"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Privatstiftungen gehören nicht einer Person, die diese Stiftung vererben kann. Somit tritt bei Privatstiftungen nie ein Erbfall ein, da die Stiftung ja nicht „stirbt“. Die Konstruktion der „Privatstiftung“ wird häufig von sehr vermögenden Personen dafür genutzt, ihr Vermögen steuerschonend anzulegen. Daher wird bei Privatstiftungen – entsprechend dem Vorbild des deutschen Modells – eine so genannte Erbersatzsteuer eingehoben. Die Höhe der Erbersatzsteuer beträgt 1/30 des Steuerbetrages, der im Erbfall anfiele. Dieser Betrag ist jährlich zu bezahlen.</w:t>
      </w:r>
    </w:p>
    <w:p w:rsidR="00E935B0" w:rsidRDefault="0084442E" w:rsidP="0084442E">
      <w:pPr>
        <w:pStyle w:val="ZGBManahme"/>
        <w:rPr>
          <w:rFonts w:cs="MinionPro-Regular"/>
          <w:b w:val="0"/>
          <w:bCs w:val="0"/>
          <w:color w:val="000000" w:themeColor="text1"/>
          <w:sz w:val="22"/>
          <w:szCs w:val="22"/>
        </w:rPr>
      </w:pPr>
      <w:r w:rsidRPr="0084442E">
        <w:rPr>
          <w:rFonts w:cs="MinionPro-Regular"/>
          <w:b w:val="0"/>
          <w:bCs w:val="0"/>
          <w:color w:val="000000" w:themeColor="text1"/>
          <w:sz w:val="22"/>
          <w:szCs w:val="22"/>
        </w:rPr>
        <w:t>Die Erbersatzsteuer wird folgendermaßen berechnet: Jedes Jahr wird auf der Basis des Stiftungsvermögens eine fiktive Erbschaftssteuer errechnet (vorhandenes Vermögen minus Freibetrag – Steuersatz je nach Höhe des Vermögens). Von dieser Summe wird dann 1/30 an Erbschaftssteuer gezahlt. Eine Erbschafts-bzw. Schenkungssteuer nach diesem Modell würde laut Arbeiterkammer rund 500 Mio. Euro an jährlichen Steuereinnahmen bringen.</w:t>
      </w:r>
    </w:p>
    <w:p w:rsidR="0084442E" w:rsidRDefault="0084442E" w:rsidP="0084442E">
      <w:pPr>
        <w:pStyle w:val="ZGBManahme"/>
      </w:pPr>
    </w:p>
    <w:p w:rsidR="00D50019" w:rsidRDefault="00D50019" w:rsidP="00D50019">
      <w:pPr>
        <w:pStyle w:val="ZGBManahme"/>
      </w:pPr>
      <w:r w:rsidRPr="00D50019">
        <w:t>Stiftungssteuer</w:t>
      </w:r>
    </w:p>
    <w:p w:rsidR="00D50019" w:rsidRDefault="0084442E" w:rsidP="00D50019">
      <w:pPr>
        <w:pStyle w:val="ZGBFlietext"/>
      </w:pPr>
      <w:r w:rsidRPr="0084442E">
        <w:t>Seit 2011 werden Zinserträge auf Kapital, das in Stiftungen angelegt ist, mit 25% besteuert. Damit wurde einer unserer Vorschläge im Hinblick auf die Besteuerung von Kapitaleinkommen, die in Stiftungen veranlagt sind, umgesetzt. Gewinne aus dem Verkauf von Beteiligungen in Stiftungen werden – sofern sie innerhalb eines Jahres zum Kauf neuer Beteiligungen verwendet werden - jedoch weiterhin steuerlich begünstigt. Auch diese Gewinne müssen (so wie Zinserträge) mit 25% besteuert werden.</w:t>
      </w:r>
    </w:p>
    <w:p w:rsidR="0084442E" w:rsidRDefault="0084442E" w:rsidP="00D50019">
      <w:pPr>
        <w:pStyle w:val="ZGBFlietext"/>
      </w:pPr>
    </w:p>
    <w:p w:rsidR="00D50019" w:rsidRDefault="00D50019" w:rsidP="00D50019">
      <w:pPr>
        <w:pStyle w:val="ZGBManahme"/>
      </w:pPr>
      <w:r w:rsidRPr="00D50019">
        <w:t xml:space="preserve">Reform der Grundsteuer </w:t>
      </w:r>
    </w:p>
    <w:p w:rsidR="009A6654" w:rsidRDefault="009A6654" w:rsidP="009A6654">
      <w:pPr>
        <w:pStyle w:val="ZGBFlietext"/>
      </w:pPr>
      <w:r>
        <w:t xml:space="preserve">Die Grundsteuer, die einmal jährlich mit einem Steuersatz von maximal 1% auf Grund- und Immobilienvermögen eingehoben wird, ist eine unmittelbare und wichtige Finanzierungsquelle für die Vielzahl an Aufgaben und Dienstleistungen, die Gemeinden tagtäglich für die </w:t>
      </w:r>
      <w:proofErr w:type="spellStart"/>
      <w:r>
        <w:t>BürgerInnen</w:t>
      </w:r>
      <w:proofErr w:type="spellEnd"/>
      <w:r>
        <w:t xml:space="preserve"> leisten. Die Grundsteuer macht in Österreich derzeit 0,2% des Brutto-</w:t>
      </w:r>
    </w:p>
    <w:p w:rsidR="009A6654" w:rsidRDefault="009A6654" w:rsidP="009A6654">
      <w:pPr>
        <w:pStyle w:val="ZGBFlietext"/>
      </w:pPr>
      <w:proofErr w:type="spellStart"/>
      <w:r>
        <w:t>inlandsproduktes</w:t>
      </w:r>
      <w:proofErr w:type="spellEnd"/>
      <w:r>
        <w:t xml:space="preserve"> (BIP) aus und liegt somit weit unter dem EU-Durchschnitt (EU 15) von 1% des BIP. 2013 brachte die Grundsteuer für nicht landwirtschaftliche Grundstücke 623,2 Mio. Euro ein, jene für landwirtschaftliche Grundstücke 23,2 Mio.  Euro. In der Stadt Wien z. B. betragen die Einnahmen aus der Grundsteuer rund 110 Mio. Euro. Im Vergleich dazu sind die Einnahmen aus den Müllgebühren mehr als doppelt so hoch (247 Mio. Euro). Ein wesentlicher Grund für die vergleichsweise geringe Bedeutung der Grundsteuer ist, dass die Bemessungsgrundlage für die Grundsteuer – die so genannten Einheitswerte – für nicht land- und forstwirtschaftliche Grundstücke seit 1973 mit Ausnahme von pauschalen Erhöhungen nicht mehr angepasst wurde. Die derzeitige Berechnungsbasis für die Grundsteuer basiert auf basiert auf Grundlagen, die die wirtschaftlichen Verhältnisse vor 20 bis 40 Jahren beschreiben und die heutige wirtschaftliche Situation in keiner Weise wiedergeben. Für land- und forstwirtschaftlich genutztes Grundvermögen wurde 2013 eine Neufeststellung der Einheitswerte beschlossen. Diese ist ab 2015 steuerrechtlich und ab 2017 sozialversicherungsrechtlich wirksam (die Sozialversicherungsbeiträge von </w:t>
      </w:r>
      <w:proofErr w:type="spellStart"/>
      <w:r>
        <w:t>LandwirtInnen</w:t>
      </w:r>
      <w:proofErr w:type="spellEnd"/>
      <w:r>
        <w:t xml:space="preserve"> berechnen sich auf der Basis der Einheitswerte). Es ist jedoch nicht zu erwarten, dass die </w:t>
      </w:r>
      <w:r>
        <w:lastRenderedPageBreak/>
        <w:t xml:space="preserve">Neufeststellung zu substantiell höheren Grundsteuereinnahmen führen wird. Laut Schätzungen betragen die gegenwärtigen Einheitswerte bei land- und forstwirtschaftlichem Grundvermögen zwischen 1 und 3,33%, bei nicht land- und forstwirtschaftlichem Grundvermögen zwischen 10 und 25% des Verkehrswertes. Die aktuellen Verkehrswerte von Grundvermögen sind also weitaus höher und variieren sehr stark von Region zu Region. Hätte es bei der Grundsteuer eine laufende Inflationsanpassung gegeben, so wären die Einnahmen heute um das Sechsfache höher. Eine Anpassung der Einheitswerte an den Verkehrswert würde erhebliche Mehreinnahmen für die Gemeinden bedeuten, die diese dringend benötigen. </w:t>
      </w:r>
    </w:p>
    <w:p w:rsidR="009A6654" w:rsidRDefault="009A6654" w:rsidP="009A6654">
      <w:pPr>
        <w:pStyle w:val="ZGBFlietext"/>
      </w:pPr>
    </w:p>
    <w:p w:rsidR="009A6654" w:rsidRPr="009A6654" w:rsidRDefault="009A6654" w:rsidP="009A6654">
      <w:pPr>
        <w:pStyle w:val="ZGBFlietext"/>
        <w:rPr>
          <w:u w:val="single"/>
        </w:rPr>
      </w:pPr>
      <w:r w:rsidRPr="009A6654">
        <w:rPr>
          <w:u w:val="single"/>
        </w:rPr>
        <w:t>Eine Reform der Grundsteuer ist in zwei Schritten möglich:</w:t>
      </w:r>
    </w:p>
    <w:p w:rsidR="009A6654" w:rsidRDefault="009A6654" w:rsidP="009A6654">
      <w:pPr>
        <w:pStyle w:val="ZGBFlietext"/>
      </w:pPr>
      <w:r>
        <w:t>In einem ersten Schritt und unmittelbar kann die Erhöhung der Einnahmen aus der Grundsteuer durch die Verdoppelung der Hebesätze erfolgen. Das ist durch einen Gesetzesbeschluss auf Bundesebene möglich und könnte Mehreinnahmen bis zu 500 Mio.  Euro einbringen. Diese Anhebung gilt so lange, bis die grundsätzliche Reform erarbeitet worden ist und umgesetzt werden kann. Weitere zusätzliche Einnahmen kann kurzfristig die Aufhebung der Grundsteuerbefreiung für neu geschaffenen Wohnraum, die in 6 Bundesländern nach wie vor für einen Zeitraum von bis zu 20 Jahren gewährt wird, sowie der Grundsteuerbefreiung von Verkehrsflächen und von für Gottesdienste genutzten Gebäuden bringen. Laut Zentrum für Verwaltungsforschung KDZ beträgt der Steuerausfall durch diese Befreiung rund 90 Mio.  Euro. Dieser Ausfall soll um 50% gesenkt werden.</w:t>
      </w:r>
    </w:p>
    <w:p w:rsidR="009A6654" w:rsidRDefault="009A6654" w:rsidP="009A6654">
      <w:pPr>
        <w:pStyle w:val="ZGBFlietext"/>
      </w:pPr>
    </w:p>
    <w:p w:rsidR="009A6654" w:rsidRDefault="009A6654" w:rsidP="009A6654">
      <w:pPr>
        <w:pStyle w:val="ZGBFlietext"/>
      </w:pPr>
      <w:r>
        <w:t xml:space="preserve">Grundsätzlich geht es in einem zweiten Schritt um die Anpassung der Einheitswerte an den Verkehrswert im Rahmen der bestehenden Grundsteuer. Insgesamt sollte eine Grundsteuerreform jährlich zusätzlich eine Milliarde Euro an Einnahmen erbringen. Eine Grundsteuerreform muss sich an vier grundlegenden Prinzipien orientieren: sie muss administrierbar, einfach, verfassungssicher und gerecht sein. </w:t>
      </w:r>
    </w:p>
    <w:p w:rsidR="009A6654" w:rsidRPr="009A6654" w:rsidRDefault="009A6654" w:rsidP="009A6654">
      <w:pPr>
        <w:pStyle w:val="ZGBFlietext"/>
        <w:rPr>
          <w:u w:val="single"/>
        </w:rPr>
      </w:pPr>
    </w:p>
    <w:p w:rsidR="009A6654" w:rsidRPr="009A6654" w:rsidRDefault="009A6654" w:rsidP="009A6654">
      <w:pPr>
        <w:pStyle w:val="ZGBFlietext"/>
        <w:rPr>
          <w:u w:val="single"/>
        </w:rPr>
      </w:pPr>
      <w:r w:rsidRPr="009A6654">
        <w:rPr>
          <w:u w:val="single"/>
        </w:rPr>
        <w:t>Wir schlagen folgende Reform zur Berechnung der Bemessungsgrundlage vor:</w:t>
      </w:r>
    </w:p>
    <w:p w:rsidR="009A6654" w:rsidRDefault="009A6654" w:rsidP="009A6654">
      <w:pPr>
        <w:pStyle w:val="ZGBFlietext"/>
      </w:pPr>
      <w:r>
        <w:t>Für die Berechnung der Grundsteuer ordnet das Finanzministerium auf Grundlage von den bestehenden Marktverhältnissen die Katastralgemeinden (das ist der Geltungsbereich eines Grundkatasters)  verschiedenen Zonen zu, für die jeweils unterschiedliche Verkehrswerte und Steuermesszahlen festgelegt sind. Die Zonenzuordnung einer Katastralgemeinde erfolgt anhand der Kaufpreissammlungen der Finanzämter für diese Katastralgemeinde. Für die Zuordnung ist der voraussichtlich höchste erzielbare Kaufpreis pro Quadratmeter eines unbebauten Grundstücks an einem bestimmten Hauptveranlagungsstichtag zu ermitteln. Insgesamt soll es 20 Zonen geben. Da Katastralgemeinden kleiner sind als die politische Grenze von Gemeinden, kann somit ein möglichst realer Wert zugeordnet werden und Wertunterschieden z. B. innerhalb von Städten oder bestimmter Regionen Rechnung getragen werden.</w:t>
      </w:r>
    </w:p>
    <w:p w:rsidR="009A6654" w:rsidRDefault="009A6654" w:rsidP="009A6654">
      <w:pPr>
        <w:pStyle w:val="ZGBFlietext"/>
      </w:pPr>
    </w:p>
    <w:p w:rsidR="009A6654" w:rsidRDefault="009A6654" w:rsidP="009A6654">
      <w:pPr>
        <w:pStyle w:val="ZGBFlietext"/>
      </w:pPr>
      <w:r>
        <w:t>Die Grundsteuer wird aus der Multiplikation der Fläche mit der jeweiligen Steuermesszahl derjenigen Zone, in die das Grundstück eingeordnet ist, berechnet. Zusätzlich wird ein bestimmter Faktor für die jeweilige Grundstückskategorie, der die unterschiedliche Nutzung der Grundstücke beschreibt, berücksichtigt. Der Städtebund hat hierfür bereits zehn Kategorien vorgeschlagen: betriebliche Bauflächen, nicht betriebliche Bauflächen (Wohnungen, Geschoßbauten), Eigenheim, Alpen, Weingarten, Gärten, Wald, Gewässer, landwirtschaftliche Flächen, sonstige betriebliche Flächen und sonstige. Diesen zehn Kategorien möchten wir eine elfte hinzufügen: sozial geförderter Wohnbau.</w:t>
      </w:r>
    </w:p>
    <w:p w:rsidR="009A6654" w:rsidRDefault="009A6654" w:rsidP="009A6654">
      <w:pPr>
        <w:pStyle w:val="ZGBFlietext"/>
      </w:pPr>
    </w:p>
    <w:p w:rsidR="009A6654" w:rsidRDefault="009A6654" w:rsidP="009A6654">
      <w:pPr>
        <w:pStyle w:val="ZGBFlietext"/>
      </w:pPr>
      <w:r>
        <w:t xml:space="preserve">Die Neuzuordnung der Katastralgemeinden zu Zonen soll alle fünf Jahre erfolgen, um allfällige Wertveränderungen abzudecken. </w:t>
      </w:r>
      <w:proofErr w:type="spellStart"/>
      <w:r>
        <w:t>GrundstücksbesitzerInnen</w:t>
      </w:r>
      <w:proofErr w:type="spellEnd"/>
      <w:r>
        <w:t xml:space="preserve"> können – falls die Höhe der Grundsteuer nicht dem Wert der Fläche entspricht – wie bereits jetzt einen Antrag auf Wertberichtigung stellen. Denn auch innerhalb einer Katastralgemeinde, die einer bestimmten Zone zugeordnet ist, müssen nicht unbedingt alle Flächen diesem Wert entsprechen.</w:t>
      </w:r>
    </w:p>
    <w:p w:rsidR="009A6654" w:rsidRDefault="009A6654" w:rsidP="009A6654">
      <w:pPr>
        <w:pStyle w:val="ZGBFlietext"/>
      </w:pPr>
    </w:p>
    <w:p w:rsidR="009A6654" w:rsidRDefault="009A6654" w:rsidP="009A6654">
      <w:pPr>
        <w:pStyle w:val="ZGBFlietext"/>
      </w:pPr>
      <w:r>
        <w:t xml:space="preserve">Um sicherzustellen, dass </w:t>
      </w:r>
      <w:proofErr w:type="spellStart"/>
      <w:r>
        <w:t>ZinshausbesitzerInnen</w:t>
      </w:r>
      <w:proofErr w:type="spellEnd"/>
      <w:r>
        <w:t xml:space="preserve"> die höhere Grundsteuer nicht auf </w:t>
      </w:r>
      <w:proofErr w:type="spellStart"/>
      <w:r>
        <w:t>MieterInnen</w:t>
      </w:r>
      <w:proofErr w:type="spellEnd"/>
      <w:r>
        <w:t xml:space="preserve"> abwälzen können, wird die Anrechnung der Grundsteuer auf die Betriebskosten gesetzlich verboten. </w:t>
      </w:r>
    </w:p>
    <w:p w:rsidR="009A6654" w:rsidRDefault="009A6654" w:rsidP="009A6654">
      <w:pPr>
        <w:pStyle w:val="ZGBFlietext"/>
      </w:pPr>
    </w:p>
    <w:p w:rsidR="009A6654" w:rsidRPr="009A6654" w:rsidRDefault="009A6654" w:rsidP="009A6654">
      <w:pPr>
        <w:pStyle w:val="ZGBFlietext"/>
        <w:rPr>
          <w:u w:val="single"/>
        </w:rPr>
      </w:pPr>
      <w:r w:rsidRPr="009A6654">
        <w:rPr>
          <w:u w:val="single"/>
        </w:rPr>
        <w:t>Einnahmenpotential der Anpassung der Einheitswerte:</w:t>
      </w:r>
    </w:p>
    <w:p w:rsidR="009A6654" w:rsidRDefault="009A6654" w:rsidP="009A6654">
      <w:pPr>
        <w:pStyle w:val="ZGBFlietext"/>
      </w:pPr>
      <w:r>
        <w:t xml:space="preserve">Gegenwärtig beträgt der Wert des gesamten Immobilienvermögens privater Haushalte 880 Mrd. Euro. Davon sind 52% Hauptwohnsitze (458 Mrd. Euro), 32% Zweitwohnsitze und weitere Immobilien (282 Mrd. Euro), 7% </w:t>
      </w:r>
      <w:r>
        <w:lastRenderedPageBreak/>
        <w:t>unbebaute Grundstücke (62 Mrd. Euro), 7% land- und forstwirtschaftliche Immobilien (62 Mrd. Euro) und 2% sonstige Immobilien (18 Mrd. Euro).</w:t>
      </w:r>
    </w:p>
    <w:p w:rsidR="006738E5" w:rsidRDefault="009A6654" w:rsidP="009A6654">
      <w:pPr>
        <w:pStyle w:val="ZGBFlietext"/>
      </w:pPr>
      <w:r>
        <w:t>Der Steuersatz einer reformierten Grundsteuer sollte so gewählt sein, dass die jährlichen Mehreinnahmen mindestens eine 1 Mrd.  Euro betragen. Der Steuersatz soll jedenfalls progressiv gestaltet sein.</w:t>
      </w:r>
    </w:p>
    <w:p w:rsidR="009A6654" w:rsidRDefault="009A6654" w:rsidP="009A6654">
      <w:pPr>
        <w:pStyle w:val="ZGBFlietext"/>
      </w:pPr>
    </w:p>
    <w:p w:rsidR="009A6654" w:rsidRDefault="009A6654" w:rsidP="009A6654">
      <w:pPr>
        <w:pStyle w:val="ZGBManahme"/>
      </w:pPr>
      <w:r>
        <w:t>Bodenwertabgabe für unbebaute Grundstücke</w:t>
      </w:r>
    </w:p>
    <w:p w:rsidR="009A6654" w:rsidRDefault="009A6654" w:rsidP="009A6654">
      <w:pPr>
        <w:pStyle w:val="ZGBFlietext"/>
      </w:pPr>
      <w:r>
        <w:t>Die Bodenwertabgabe ist eine zusätzliche Sachsteuer auf unbebaute Grundstücke, die für Bauzwecke in Betracht kommen und deren Einheitswert mehr als 14.600 Euro beträgt. Der Steuersatz beträgt 1% des 14.600 Euro übersteigenden Einheitswertes. Die Bodenwertabgabe wird vom jeweiligen Lagefinanzamt erhoben. Der Ertrag dieser Abgabe kommt zu 96% den Gemeinden zu. Derzeit beträgt das Aufkommen der Bodenwertabgabe rund 6 Mio. Euro. Laut den Erhebungen der Österreichischen Nationalbank liegt der Verkehrswert unbebauter Grundstücke</w:t>
      </w:r>
    </w:p>
    <w:p w:rsidR="009A6654" w:rsidRDefault="009A6654" w:rsidP="009A6654">
      <w:pPr>
        <w:pStyle w:val="ZGBFlietext"/>
      </w:pPr>
      <w:r>
        <w:t>bei rund 60 Mrd. Euro. Mit entsprechenden Freibeträgen und einem Steuersatz von 0,5% könnten rund 150 Mio.  Euro ins öffentliche Budget fließen.</w:t>
      </w:r>
    </w:p>
    <w:p w:rsidR="009A6654" w:rsidRDefault="009A6654" w:rsidP="009A6654">
      <w:pPr>
        <w:pStyle w:val="berschrift2"/>
      </w:pPr>
    </w:p>
    <w:p w:rsidR="009A6654" w:rsidRPr="006738E5" w:rsidRDefault="009A6654" w:rsidP="009A6654">
      <w:pPr>
        <w:pStyle w:val="ZGBFlietext"/>
      </w:pPr>
    </w:p>
    <w:p w:rsidR="009A6654" w:rsidRPr="009A6654" w:rsidRDefault="009A6654" w:rsidP="009A6654">
      <w:pPr>
        <w:pStyle w:val="ZGBFlietext"/>
        <w:rPr>
          <w:rFonts w:ascii="Verdana" w:hAnsi="Verdana" w:cs="Verdana"/>
          <w:b/>
          <w:bCs/>
          <w:i/>
          <w:iCs/>
          <w:color w:val="auto"/>
          <w:sz w:val="30"/>
          <w:szCs w:val="30"/>
          <w:u w:val="single"/>
        </w:rPr>
      </w:pPr>
      <w:r>
        <w:rPr>
          <w:rFonts w:ascii="Verdana" w:hAnsi="Verdana" w:cs="Verdana"/>
          <w:b/>
          <w:bCs/>
          <w:i/>
          <w:iCs/>
          <w:color w:val="auto"/>
          <w:sz w:val="30"/>
          <w:szCs w:val="30"/>
          <w:u w:val="single"/>
        </w:rPr>
        <w:t xml:space="preserve">Finanztransaktionen </w:t>
      </w:r>
      <w:r w:rsidRPr="009A6654">
        <w:rPr>
          <w:rFonts w:ascii="Verdana" w:hAnsi="Verdana" w:cs="Verdana"/>
          <w:b/>
          <w:bCs/>
          <w:i/>
          <w:iCs/>
          <w:color w:val="auto"/>
          <w:sz w:val="30"/>
          <w:szCs w:val="30"/>
          <w:u w:val="single"/>
        </w:rPr>
        <w:t>besteuern</w:t>
      </w:r>
    </w:p>
    <w:p w:rsidR="009A6654" w:rsidRPr="00D50019" w:rsidRDefault="009A6654" w:rsidP="009A6654">
      <w:pPr>
        <w:pStyle w:val="ZGBEinleitung"/>
      </w:pPr>
    </w:p>
    <w:p w:rsidR="009A6654" w:rsidRDefault="009A6654" w:rsidP="009A6654">
      <w:pPr>
        <w:pStyle w:val="ZGBEinleitung"/>
      </w:pPr>
      <w:r w:rsidRPr="009A6654">
        <w:t>Das Verschieben von hohen Geldsummen in kurzer Zeit mit dem Ziel, kurzfristige Spekulationsgewinne zu erzielen, ist ein wesentlicher Grund für die Instabilität von Finanzmärkten. Die Einführung einer Finanztransaktionssteuer hat zum Ziel, kurzfristige Finanztransaktionen unattraktiver zu machen und somit ihre Anzahl zu verringern. Bis zur Umsetzung der Finanztransaktionssteuer soll die Börsenumsatzsteuer wieder eingeführt werden.</w:t>
      </w:r>
    </w:p>
    <w:p w:rsidR="009A6654" w:rsidRDefault="009A6654" w:rsidP="009A6654">
      <w:pPr>
        <w:pStyle w:val="ZGBManahme"/>
      </w:pPr>
    </w:p>
    <w:p w:rsidR="009A6654" w:rsidRDefault="009A6654" w:rsidP="009A6654">
      <w:pPr>
        <w:pStyle w:val="ZGBManahme"/>
      </w:pPr>
      <w:r w:rsidRPr="00D50019">
        <w:t>Finanztransaktionssteuer (FTS)</w:t>
      </w:r>
    </w:p>
    <w:p w:rsidR="009A6654" w:rsidRDefault="009A6654" w:rsidP="009A6654">
      <w:pPr>
        <w:pStyle w:val="ZGBFlietext"/>
      </w:pPr>
      <w:r w:rsidRPr="009A6654">
        <w:t>Die Finanztransaktionsteuer ist im Prinzip eine Mehrwertsteuer auf spekulationsanfällige Finanztransaktionen (Währungen, Aktien oder abgeleitete Wertpapiere (“Derivate” etc.) Diese Finanztransaktionen werden mit einer minimalen Steuer belegt. Die Einführung einer Finanztransaktionssteuer in elf EU-Ländern rückt immer näher. Anders als die aufwändigen Regulierungsmechanismen, die derzeit zur Aufsicht über das Finanzgeschehen vorgesehen sind, wirkt diese Steuer unmittelbar, umfassend und führt zu mehr Steuergerechtigkeit - vorausgesetzt alle Transaktionen auf den Finanzmärkten werden erfasst. Gegenwärtig werden die Details der FTS verhandelt. Aus unserer Sicht muss die FTS flächendeckend mit einem einheitlichen Steuersatz von etwa 0,1% und ohne Ausnahmen bei der Steuerbasis angewendet werden. Die Steuer soll nach dem sogenannten „Sitzlandprinzip“ erhoben werden, d.  h. alle Finanztransaktionen eines Unternehmens, welches seinen Sitz in einem der elf Länder hat, werden – sofern diese unter die FTS fallen – besteuert, unabhängig davon an welchem Finanzplatz diese getätigt werden. Damit wären Fluchtmöglichkeiten von der Steuer sehr schwierig: Es bliebe nur die Verlagerung des kompletten Firmensitzes, was oft teurer wäre als die Steuer. Zudem sollten nicht nur Börsengeschäfte mit einer FTS belegt werden, sondern auch außerbörsliche Transaktionen und Derivate. Nach Einschätzung der Europäischen Kommission  werden die elf EU-Länder insgesamt zusätzliche Einnahmen  von 30 bis 35 Mrd. Euro jährlich erhalten. Die Einnahmen aus der FTS sollen zum Großteil für die Bekämpfung globaler Armut und der Folgen des Klimawandels verwendet werden – unabhängig davon, ob die Einnahmen der FTS in die nationalen Budgets oder in das EU-Budget fließen.</w:t>
      </w:r>
    </w:p>
    <w:p w:rsidR="009A6654" w:rsidRDefault="009A6654" w:rsidP="009A6654">
      <w:pPr>
        <w:pStyle w:val="ZGBFlietext"/>
      </w:pPr>
    </w:p>
    <w:p w:rsidR="009A6654" w:rsidRDefault="009A6654" w:rsidP="009A6654">
      <w:pPr>
        <w:pStyle w:val="ZGBManahme"/>
      </w:pPr>
      <w:r w:rsidRPr="00D50019">
        <w:t>Börsenumsatzsteuer</w:t>
      </w:r>
    </w:p>
    <w:p w:rsidR="009A6654" w:rsidRDefault="009A6654" w:rsidP="00D50019">
      <w:pPr>
        <w:pStyle w:val="ZGBFlietext"/>
      </w:pPr>
      <w:r w:rsidRPr="009A6654">
        <w:t>Diese Steuer ist eine Kapitalverkehrsteuer und wird auf den Umsatz aus dem Handel mit Wertpapieren erhoben. Eine Wiedereinführung würde mindestens 200 Mio. Euro an Zusatzeinnahmen pro Jahr einbringen. Diese Berechnung basiert auf der Wiedereinführung jenes Modells, welches vor einigen Jahren in Österreich ausgesetzt wurde. Dabei wurden Aktienkäufe mit 0,5% und Anleihen-Ankäufe mit einem leicht geringeren Steuersatz besteuert.</w:t>
      </w:r>
    </w:p>
    <w:p w:rsidR="009A6654" w:rsidRDefault="009A6654" w:rsidP="00D50019">
      <w:pPr>
        <w:pStyle w:val="ZGBFlietext"/>
      </w:pPr>
    </w:p>
    <w:p w:rsidR="009A6654" w:rsidRDefault="009A6654" w:rsidP="00D50019">
      <w:pPr>
        <w:pStyle w:val="ZGBFlietext"/>
      </w:pPr>
    </w:p>
    <w:p w:rsidR="009A6654" w:rsidRDefault="009A6654" w:rsidP="00D50019">
      <w:pPr>
        <w:pStyle w:val="ZGBFlietext"/>
      </w:pPr>
    </w:p>
    <w:p w:rsidR="00D50019" w:rsidRDefault="009A6654" w:rsidP="009A6654">
      <w:pPr>
        <w:pStyle w:val="berschrift2"/>
      </w:pPr>
      <w:bookmarkStart w:id="24" w:name="_Toc406072767"/>
      <w:r>
        <w:lastRenderedPageBreak/>
        <w:t>Arbeit entlasten! - Spitzeneinkommen gerecht beteiligen</w:t>
      </w:r>
      <w:bookmarkEnd w:id="24"/>
    </w:p>
    <w:p w:rsidR="00D50019" w:rsidRDefault="00D50019" w:rsidP="00D50019">
      <w:pPr>
        <w:pStyle w:val="ZGBFlietext"/>
      </w:pPr>
    </w:p>
    <w:p w:rsidR="009A6654" w:rsidRDefault="009A6654" w:rsidP="009A6654">
      <w:pPr>
        <w:pStyle w:val="ZGBEinleitung"/>
      </w:pPr>
      <w:r>
        <w:t xml:space="preserve">Die enorme Konzentration der Vermögen hat ihre Wurzeln auch in einer immer weiter aufgehenden Schere bei den Arbeitseinkommen. So erhielten laut dem Sozialbericht 2011-2012 40 Prozent der </w:t>
      </w:r>
      <w:proofErr w:type="spellStart"/>
      <w:r>
        <w:t>ÖsterreicherInnen</w:t>
      </w:r>
      <w:proofErr w:type="spellEnd"/>
      <w:r>
        <w:t xml:space="preserve"> mit den niedrigsten Einkommen 1976 noch 17,5 Prozent aller Lohneinkommen. 2010 waren es nur mehr 11,2 Prozent. Bei jenen mit hohen Lohneinkommen ist die Entwicklung umgekehrt. Das bedeutet, dass einige wenige immer mehr verdienen, während die Einkommen von immer mehr Menschen weniger werden. Frauen sind von dieser Entwicklung doppelt betroffen. Über alle Branchen hinweg liegt ihr Erwerbseinkommen nach wie vor rund ein Drittel unter jenem der Männer. Ein Grund dafür ist der hohe Teilzeitbeschäftigungsanteil von Frauen aufgrund familiärer Betreuungspflichten. Ein weiterer Grund sind Freibeträge und verhältnismäßig hohe Abgaben bzw. Steuersätze, die beim Überschreiten von Geringfügigkeitseinkommen bzw. dem Erreichen der Lohnsteuerpflicht zu entrichten sind. Diese führen oft dazu, dass Frauen in gering bezahlten Arbeitsverhältnissen bleiben. Mehr als zwei Drittel der erwerbstätigen Frauen gehören laut Statistik Austria zur unteren Einkommenshälfte. </w:t>
      </w:r>
    </w:p>
    <w:p w:rsidR="00D50019" w:rsidRDefault="009A6654" w:rsidP="009A6654">
      <w:pPr>
        <w:pStyle w:val="ZGBEinleitung"/>
      </w:pPr>
      <w:r>
        <w:t xml:space="preserve">Diese Entwicklung führt zu einer Anhäufung von Vermögen derer, die immer mehr verdienen. Wie bereits im Kapitel „Vermögen besteuern“ beschrieben sind die Vermögen in Österreich extrem ungleich verteilt (Quelle: Sozialbericht 2011-2012). Um Ausgleich zu schaffen, braucht es neben höheren Löhnen für untere Einkommensgruppen und der Besteuerung von Vermögen auch eine sozialere und damit geschlechtergerechtere Besteuerung der Arbeitseinkommen. Menschen mit niedrigen bis mittleren Einkommen und kaum nennenswertem Vermögensbesitz müssen dringend entlastet, </w:t>
      </w:r>
      <w:proofErr w:type="spellStart"/>
      <w:r>
        <w:t>SpitzenverdienerInnen</w:t>
      </w:r>
      <w:proofErr w:type="spellEnd"/>
      <w:r>
        <w:t xml:space="preserve"> hingegen auch entsprechend ihrer steuerlichen Leistungsfähigkeit besteuert werden. Wir brauchen jetzt eine Reform der Einkommens- bzw. Lohnsteuer sowie der Finanzierungsbasis des Familienlastenausgleichsfonds in Österreich. Für die niedrigen Einkommen muss eine Negativsteuer die hohe Anfangsbelastung mildern. Arbeit entlasten heißt für uns auch, die geleistete Arbeit gerechter zu verteilen – denn in Österreich leisten die Menschen im EU-weiten Vergleich überdurchschnittlich viele Überstunden.</w:t>
      </w:r>
    </w:p>
    <w:p w:rsidR="009A6654" w:rsidRDefault="009A6654" w:rsidP="009A6654">
      <w:pPr>
        <w:pStyle w:val="ZGBEinleitung"/>
      </w:pPr>
    </w:p>
    <w:p w:rsidR="00D50019" w:rsidRDefault="00D50019" w:rsidP="00D50019">
      <w:pPr>
        <w:pStyle w:val="ZGBFlietext"/>
      </w:pPr>
    </w:p>
    <w:p w:rsidR="00D50019" w:rsidRDefault="00D50019" w:rsidP="00D50019">
      <w:pPr>
        <w:pStyle w:val="ZGBManahme"/>
      </w:pPr>
      <w:r w:rsidRPr="00D50019">
        <w:t xml:space="preserve">Niedrige Einkommen steuerlich entlasten </w:t>
      </w:r>
    </w:p>
    <w:p w:rsidR="009A6654" w:rsidRDefault="009A6654" w:rsidP="009A6654">
      <w:pPr>
        <w:pStyle w:val="ZGBFlietext"/>
      </w:pPr>
      <w:r>
        <w:t>Menschen, die in Österreich zwischen 1.200 und 3.400 Euro oder weniger verdienen, zahlen im Vergleich zu anderen EU-Ländern überdurchschnittlich hohe Steuern. Daher müssen besonders diese Arbeitseinkommen steuerlich entlastet werden. Das würde nicht nur eine Umverteilung zwischen niedrigen und hohen Einkommen bedeuten, sondern auch eine zwischen den Geschlechtern, denn: Frauen finden sich überdurchschnittlich oft in den niedrigen Einkommensgruppen.</w:t>
      </w:r>
    </w:p>
    <w:p w:rsidR="009A6654" w:rsidRDefault="009A6654" w:rsidP="009A6654">
      <w:pPr>
        <w:pStyle w:val="ZGBFlietext"/>
      </w:pPr>
      <w:r>
        <w:t xml:space="preserve">In einem ersten Schritt schlagen wir vor, die steuerliche Entlastung der unteren und mittleren Einkommen in Form einer erhöhten Negativsteuer zu erreichen. Die Negativsteuer ist eine Steuergutschrift für Personen, deren Einkommen sehr gering sind. Statt des bisher gewährten Arbeitnehmerabsetzbetrages von 54 Euro pro Jahr sollen </w:t>
      </w:r>
      <w:proofErr w:type="spellStart"/>
      <w:r>
        <w:t>ArbeitnehmerInnen</w:t>
      </w:r>
      <w:proofErr w:type="spellEnd"/>
      <w:r>
        <w:t xml:space="preserve"> in Zukunft einen jährlichen Absetzbetrag von 720 Euro mit voller Negativsteuerwirkung erhalten. Das entspricht einem monatlichen Absetzbetrag von 60 Euro. Dieser wird ab einem Brutto-Einkommen von monatlich 395,31 Euro (2014) gewährt, d.  h. alle Personen, die mehr als geringfügig angestellt sind und daher Sozialversicherungsbeiträge zahlen, kommen in den Genuss der Steuergutschrift. Die Höhe des Absetzbetrages hat auch zur Folge, dass das Überschreiten der Geringfügigkeitsgrenze attraktiver wird, da die Steuergutschrift die anfallenden Sozialversicherungsbeiträge minimiert. Bei einem Bruttoeinkommen von z. B. 400 Euro blieben einer </w:t>
      </w:r>
      <w:proofErr w:type="spellStart"/>
      <w:r>
        <w:t>ArbeiterIn</w:t>
      </w:r>
      <w:proofErr w:type="spellEnd"/>
      <w:r>
        <w:t xml:space="preserve"> nach Abzug der Sozialversicherung real 339,20 Euro. Mit der Steuergutschrift von 60 Euro, reduziert sich der Abzug auf 80 Cent. Der Absetzbetrag von 60 Euro monatlich reduziert sich ab einer Steuerbemessungsgrundlage von 11.000 Euro. Ab einem Jahresbruttoeinkommen von 20.000 Euro beträgt die Negativsteuer wieder 60 Euro pro Jahr. Damit soll sichergestellt werden, dass nach der Reform keine Person steuerlich schlechter gestellt ist als vorher und in erster Linie niedrige und mittlere Einkommen und damit vor allem Frauen entlastet werden. </w:t>
      </w:r>
    </w:p>
    <w:p w:rsidR="009A6654" w:rsidRDefault="009A6654" w:rsidP="009A6654">
      <w:pPr>
        <w:pStyle w:val="ZGBFlietext"/>
      </w:pPr>
      <w:r>
        <w:t xml:space="preserve">Auch </w:t>
      </w:r>
      <w:proofErr w:type="spellStart"/>
      <w:r>
        <w:t>PensionistInnen</w:t>
      </w:r>
      <w:proofErr w:type="spellEnd"/>
      <w:r>
        <w:t xml:space="preserve"> sollen den Absetzbetrag erhalten, wegen der niedrigeren Sozial-</w:t>
      </w:r>
    </w:p>
    <w:p w:rsidR="009A6654" w:rsidRDefault="009A6654" w:rsidP="009A6654">
      <w:pPr>
        <w:pStyle w:val="ZGBFlietext"/>
      </w:pPr>
      <w:r>
        <w:t>versicherungs-</w:t>
      </w:r>
    </w:p>
    <w:p w:rsidR="009A6654" w:rsidRDefault="009A6654" w:rsidP="009A6654">
      <w:pPr>
        <w:pStyle w:val="ZGBFlietext"/>
      </w:pPr>
      <w:r>
        <w:t xml:space="preserve">Beiträge aber nur in Höhe von 40 Euro/Monat – als Ersatz des derzeit gewährten </w:t>
      </w:r>
      <w:proofErr w:type="spellStart"/>
      <w:r>
        <w:t>Pensionistenabsetzbetrags</w:t>
      </w:r>
      <w:proofErr w:type="spellEnd"/>
      <w:r>
        <w:t xml:space="preserve">. Die Gesamtkosten für die steuerliche Entlastung dieser Gruppe von niedrigen </w:t>
      </w:r>
      <w:proofErr w:type="spellStart"/>
      <w:r>
        <w:t>EinkommensbezieherInnen</w:t>
      </w:r>
      <w:proofErr w:type="spellEnd"/>
      <w:r>
        <w:t xml:space="preserve"> und </w:t>
      </w:r>
      <w:proofErr w:type="spellStart"/>
      <w:r>
        <w:t>PensionistInnen</w:t>
      </w:r>
      <w:proofErr w:type="spellEnd"/>
      <w:r>
        <w:t xml:space="preserve"> belaufen sich auf rund 1,4 Mrd.  Euro.</w:t>
      </w:r>
    </w:p>
    <w:p w:rsidR="00D50019" w:rsidRDefault="009A6654" w:rsidP="009A6654">
      <w:pPr>
        <w:pStyle w:val="ZGBFlietext"/>
      </w:pPr>
      <w:r>
        <w:lastRenderedPageBreak/>
        <w:t xml:space="preserve">Von dieser steuerlichen Entlastung profitieren 2,2 Mio. </w:t>
      </w:r>
      <w:proofErr w:type="spellStart"/>
      <w:r>
        <w:t>ArbeitnehmerInnen</w:t>
      </w:r>
      <w:proofErr w:type="spellEnd"/>
      <w:r>
        <w:t xml:space="preserve"> und 1,3 Mio. </w:t>
      </w:r>
      <w:proofErr w:type="spellStart"/>
      <w:r>
        <w:t>PensionistInnen</w:t>
      </w:r>
      <w:proofErr w:type="spellEnd"/>
      <w:r>
        <w:t>. Damit diese Personengruppen von dieser Maßnahme auch entsprechend Gebrauch machen, sind die administrativen Hürden zu beseitigen. Die Negativsteuer wird automatisch vom Finanzamt und ohne Antrag am Jahresende ausgezahlt. Die laufende Auszahlung über den Arbeitgeber bzw. die Arbeitgeberin während des Jahres kann verlangt werden. Dafür ist eine Sozialversicherungsbestätigung über alle Einkommen nötig.</w:t>
      </w:r>
    </w:p>
    <w:p w:rsidR="009A6654" w:rsidRDefault="009A6654" w:rsidP="009A6654">
      <w:pPr>
        <w:pStyle w:val="ZGBFlietext"/>
      </w:pPr>
    </w:p>
    <w:p w:rsidR="009A6654" w:rsidRDefault="009A6654" w:rsidP="009A6654">
      <w:pPr>
        <w:pStyle w:val="ZGBManahme"/>
      </w:pPr>
      <w:r>
        <w:t>Eingangssteuersatz senken und Steuerstufen anpassen</w:t>
      </w:r>
      <w:r w:rsidRPr="00D50019">
        <w:t xml:space="preserve"> </w:t>
      </w:r>
    </w:p>
    <w:p w:rsidR="009A6654" w:rsidRDefault="009A6654" w:rsidP="009A6654">
      <w:r w:rsidRPr="009A6654">
        <w:t xml:space="preserve">Ein zweiter Schritt zur steuerlichen Entlastung der unteren und mittleren Arbeitseinkommen ist die Absenkung des Eingangssteuersatzes und die Anpassung der Steuerstufen bei der Lohn- und Einkommensteuer sowie Maßnahmen um der „kalten Progression” entgegenzuwirken. Wir greifen hier den von ÖGB und AK erarbeiteten Vorschlag zur steuerlichen Entlastung von </w:t>
      </w:r>
      <w:proofErr w:type="spellStart"/>
      <w:r w:rsidRPr="009A6654">
        <w:t>ArbeitnehmerInnen</w:t>
      </w:r>
      <w:proofErr w:type="spellEnd"/>
      <w:r w:rsidRPr="009A6654">
        <w:t xml:space="preserve"> vom September 2014 auf.  Dieser sollte mit Ausnahme der Anhebung der Einkommensgrenze für den Spitzensteuersatz umgesetzt werden. Mit dieser Einschränkung würden die Kosten für die von ÖGB und AK vorgeschlagene Absenkung des Eingangssteuersatzes bzw. der neuen Steuerstufen sich lediglich auf rund 5,3 Mrd. Euro belaufen.</w:t>
      </w:r>
    </w:p>
    <w:p w:rsidR="009A6654" w:rsidRDefault="009A6654" w:rsidP="009A6654">
      <w:pPr>
        <w:pStyle w:val="ZGBManahme"/>
      </w:pPr>
      <w:r w:rsidRPr="009A6654">
        <w:t>Spitzeneinkommen gerecht beteiligen</w:t>
      </w:r>
    </w:p>
    <w:p w:rsidR="009A6654" w:rsidRDefault="009A6654" w:rsidP="009A6654">
      <w:r>
        <w:t>Darüber hinaus schlagen wir vor, den Spitzensteuersatz für Personen, die monatlich mehr als 23.000 Euro brutto verdienen (das ist das Gehalt des Bundespräsidenten) von derzeit 50% auf 60% anzuheben. Das betrifft rund 4.000 Personen und brächte zusätzliche 300 Mio. Euro (vgl. Markus Marterbauer 2011: Zahlen bitte! Die Kosten der Krise zahlen wir alle).</w:t>
      </w:r>
    </w:p>
    <w:p w:rsidR="00D50019" w:rsidRPr="00D50019" w:rsidRDefault="00D50019" w:rsidP="00D50019">
      <w:pPr>
        <w:pStyle w:val="ZGBManahme"/>
      </w:pPr>
      <w:r w:rsidRPr="00D50019">
        <w:t>Überstunden reduzieren – Einführung eines Überstunden Euro</w:t>
      </w:r>
    </w:p>
    <w:p w:rsidR="009A6654" w:rsidRDefault="009A6654" w:rsidP="009A6654">
      <w:pPr>
        <w:pStyle w:val="ZGBFlietext"/>
      </w:pPr>
      <w:r>
        <w:t xml:space="preserve">2013 wurden in Österreich laut Statistik Austria rund 270 Mio. Überstunden geleistet. Davon wurde jede fünfte von </w:t>
      </w:r>
      <w:proofErr w:type="spellStart"/>
      <w:r>
        <w:t>ArbeitnehmerInnen</w:t>
      </w:r>
      <w:proofErr w:type="spellEnd"/>
      <w:r>
        <w:t xml:space="preserve"> geleistete Überstunde von den </w:t>
      </w:r>
      <w:proofErr w:type="spellStart"/>
      <w:r>
        <w:t>ArbeitgeberInnen</w:t>
      </w:r>
      <w:proofErr w:type="spellEnd"/>
      <w:r>
        <w:t xml:space="preserve"> nicht entlohnt. Frauen sind stärker betroffen als Männer. Zum einen wird bei Frauen Mehrarbeit häufiger als bei Männern nicht abgegolten. Zum anderen bedeuten viele Überstunden (v.  a. wenn diese von Männern geleistet werden) meist, dass die unbezahlte Care-Arbeit noch mehr auf den Schultern der Frauen lastet. Schließlich vergrößert die steuerliche Sonderbehandlung von Überstunden auch die Einkommensschere. Denn die Mehrstunden, die in Teilzeitarbeitsverhältnissen geleistet werden (in denen sich überwiegend Frauen befinden), werden steuerlich wie normale Arbeitsstunden behandelt, während Überstunden in Vollzeitarbeitsverhältnissen steuerlich begünstigt sind. </w:t>
      </w:r>
    </w:p>
    <w:p w:rsidR="009A6654" w:rsidRDefault="009A6654" w:rsidP="009A6654">
      <w:pPr>
        <w:pStyle w:val="ZGBFlietext"/>
      </w:pPr>
      <w:r>
        <w:t xml:space="preserve">Arbeit entlasten heißt für uns auch die Arbeitsbelastung der </w:t>
      </w:r>
      <w:proofErr w:type="spellStart"/>
      <w:r>
        <w:t>ArbeitnehmerInnen</w:t>
      </w:r>
      <w:proofErr w:type="spellEnd"/>
      <w:r>
        <w:t xml:space="preserve"> zu reduzieren und Arbeit gerechter zu verteilen. Daher bedarf es einer Reihe von Maßnahmen, die es für </w:t>
      </w:r>
      <w:proofErr w:type="spellStart"/>
      <w:r>
        <w:t>ArbeitgeberInnen</w:t>
      </w:r>
      <w:proofErr w:type="spellEnd"/>
      <w:r>
        <w:t xml:space="preserve"> attraktiver machen, spätestens ab insgesamt 20 Stunden Mehrarbeit eine neue Person einzustellen. Schätzungen gehen davon aus, dass zumindest ein Drittel der derzeit geleisteten Überstunden tatsächlich </w:t>
      </w:r>
    </w:p>
    <w:p w:rsidR="009A6654" w:rsidRDefault="009A6654" w:rsidP="009A6654">
      <w:pPr>
        <w:pStyle w:val="ZGBFlietext"/>
      </w:pPr>
      <w:r>
        <w:t>beschäftigungswirksam sein kann, d.  h.</w:t>
      </w:r>
    </w:p>
    <w:p w:rsidR="009A6654" w:rsidRDefault="009A6654" w:rsidP="009A6654">
      <w:pPr>
        <w:pStyle w:val="ZGBFlietext"/>
      </w:pPr>
      <w:r>
        <w:t>dass rund 60.000 Vollzeitarbeitsplätze geschaffen werden könnten.</w:t>
      </w:r>
    </w:p>
    <w:p w:rsidR="00D50019" w:rsidRDefault="009A6654" w:rsidP="009A6654">
      <w:pPr>
        <w:pStyle w:val="ZGBFlietext"/>
      </w:pPr>
      <w:r>
        <w:t xml:space="preserve">In einem ersten Schritt schlagen wir die Einführung eines Überstunden-Euros pro </w:t>
      </w:r>
      <w:proofErr w:type="gramStart"/>
      <w:r>
        <w:t>geleisteter</w:t>
      </w:r>
      <w:proofErr w:type="gramEnd"/>
      <w:r>
        <w:t xml:space="preserve"> Überstunde vor, der von den </w:t>
      </w:r>
      <w:proofErr w:type="spellStart"/>
      <w:r>
        <w:t>ArbeitgeberInnen</w:t>
      </w:r>
      <w:proofErr w:type="spellEnd"/>
      <w:r>
        <w:t xml:space="preserve"> zu zahlen ist. Mit den 200 Mio. Euro an zusätzlichen Einnahmen sollen u.  a. der Ausbau von Kinderbetreuungs- und Pflegeeinrichtungen finanziert und die Arbeitszeitverkürzung gefördert werden. Neben diesen Maßnahmen ist die zulässige Zahl an wöchentlichen Überstunden und insbesondere die wöchentliche Höchstarbeitszeit zu verringern. Darüber hinaus soll jegliche steuerliche Begünstigung für Überstunden auch für die Mehrarbeit in Teilzeitarbeitsverhältnissen gelten.</w:t>
      </w:r>
    </w:p>
    <w:p w:rsidR="009A6654" w:rsidRDefault="009A6654" w:rsidP="009A6654">
      <w:pPr>
        <w:pStyle w:val="ZGBFlietext"/>
      </w:pPr>
    </w:p>
    <w:p w:rsidR="00D50019" w:rsidRDefault="00D50019" w:rsidP="00D50019">
      <w:pPr>
        <w:pStyle w:val="ZGBManahme"/>
      </w:pPr>
      <w:r w:rsidRPr="00D50019">
        <w:t>Wertschöpfung als Finanzierungsbasis des Familienlastenausgleichsfonds (FLAF)</w:t>
      </w:r>
    </w:p>
    <w:p w:rsidR="00D50019" w:rsidRDefault="009A6654" w:rsidP="009A6654">
      <w:r w:rsidRPr="009A6654">
        <w:t xml:space="preserve">Der Familienlastenausgleichsfonds (FLAF) der Republik Österreich ist ein vom Finanzministerium verwalteter Fonds zur Familienpolitik. Er wurde 1968 eingerichtet, um den Familien den Mehraufwand durch Kinder teilweise auszugleichen. Die Finanzierung des FLAF erfolgt durch eine Abgabe auf die Bruttolohnsumme von </w:t>
      </w:r>
      <w:proofErr w:type="spellStart"/>
      <w:r w:rsidRPr="009A6654">
        <w:t>ArbeitnehmerInnen</w:t>
      </w:r>
      <w:proofErr w:type="spellEnd"/>
      <w:r w:rsidRPr="009A6654">
        <w:t xml:space="preserve">, die von dem/der Arbeitgeber/in zu entrichten ist. Ursprünglich kamen nur </w:t>
      </w:r>
      <w:proofErr w:type="spellStart"/>
      <w:r w:rsidRPr="009A6654">
        <w:t>ArbeitnehmerInnen</w:t>
      </w:r>
      <w:proofErr w:type="spellEnd"/>
      <w:r w:rsidRPr="009A6654">
        <w:t xml:space="preserve"> in den Genuss der Familienbeihilfe, mittlerweile haben alle Personen mit Kindern Anspruch auf die Leistungen – auch </w:t>
      </w:r>
      <w:proofErr w:type="spellStart"/>
      <w:r w:rsidRPr="009A6654">
        <w:t>LandwirtInnen</w:t>
      </w:r>
      <w:proofErr w:type="spellEnd"/>
      <w:r w:rsidRPr="009A6654">
        <w:t xml:space="preserve"> und Selbstständige, obwohl diese keinen Beitrag zur </w:t>
      </w:r>
      <w:r w:rsidRPr="009A6654">
        <w:lastRenderedPageBreak/>
        <w:t>Finanzierung des FLAF entrichten müssen. Um Arbeit steuerlich zu entlasten und die Finanzierung des Familienlastenausgleichsfonds gerechter auf alle gesellschaftlichen Gruppen zu verteilen, soll die Finanzierungsbasis des FLAF in Zukunft nicht mehr die Bruttolohnsumme sondern die Wertschöpfung – also die Summe der entstandenen Einkommen – von Unternehmen sein. So sieht man z. B. in der exportorientierten Industrie, dass die Gewinne oft schon fast so hoch sind wie die Lohnkosten samt Lohnnebenkosten – es ist daher unverständlich, warum die Gewinne nicht in die Berechnungsbasis der Abgabe eingehen! Eine Umstellung der Finanzierungsbasis von der Bruttolohnsumme auf die Wertschöpfung von allen Unternehmen bedeutet zum einen eine Entlastung von Arbeit und zum anderen eine gerechtere Finanzierung des FLAF, bei der alle gesellschaftlichen Gruppen, die vom FLAF profitieren, zu dessen Finanzierung beitragen. Die Höhe der Abgabe könnte von derzeit 4,5% auf 2,25% abgesenkt werden, da die Finanzierungsbasis breiter wird. Eine derartige Abgabe ist auch EU-rechtskonform. Der Europäische Gerichtsh</w:t>
      </w:r>
      <w:r>
        <w:t>of hat mit der sogenannten IRAP</w:t>
      </w:r>
      <w:r>
        <w:rPr>
          <w:rStyle w:val="Funotenzeichen"/>
        </w:rPr>
        <w:footnoteReference w:id="7"/>
      </w:r>
      <w:r w:rsidRPr="009A6654">
        <w:t xml:space="preserve">   Entscheidung (C-475/03) eine solche Abgabe für zulässig erklärt.</w:t>
      </w:r>
    </w:p>
    <w:p w:rsidR="006738E5" w:rsidRPr="006738E5" w:rsidRDefault="006738E5" w:rsidP="006738E5">
      <w:pPr>
        <w:pStyle w:val="ZGBFlietext"/>
      </w:pPr>
    </w:p>
    <w:p w:rsidR="00D50019" w:rsidRDefault="009A6654" w:rsidP="009A6654">
      <w:pPr>
        <w:pStyle w:val="berschrift2"/>
      </w:pPr>
      <w:bookmarkStart w:id="25" w:name="_Toc406072768"/>
      <w:r>
        <w:t>Steuerprivilegien für Kapitaleinkommen und Konzerne abschaffen, Steuerflucht beenden</w:t>
      </w:r>
      <w:bookmarkEnd w:id="25"/>
    </w:p>
    <w:p w:rsidR="00D50019" w:rsidRPr="00D50019" w:rsidRDefault="00D50019" w:rsidP="00D50019">
      <w:pPr>
        <w:pStyle w:val="ZGBEinleitung"/>
      </w:pPr>
    </w:p>
    <w:p w:rsidR="00D50019" w:rsidRDefault="009A6654" w:rsidP="00D50019">
      <w:pPr>
        <w:pStyle w:val="ZGBEinleitung"/>
      </w:pPr>
      <w:r w:rsidRPr="009A6654">
        <w:t>Trotz der Krise wachsen die Vermögen der 78.000 österreichischen Euro-</w:t>
      </w:r>
      <w:proofErr w:type="spellStart"/>
      <w:r w:rsidRPr="009A6654">
        <w:t>MillionärInnen</w:t>
      </w:r>
      <w:proofErr w:type="spellEnd"/>
      <w:r w:rsidRPr="009A6654">
        <w:t xml:space="preserve"> jährlich um ein </w:t>
      </w:r>
      <w:proofErr w:type="spellStart"/>
      <w:r w:rsidRPr="009A6654">
        <w:t>zigfaches</w:t>
      </w:r>
      <w:proofErr w:type="spellEnd"/>
      <w:r w:rsidRPr="009A6654">
        <w:t xml:space="preserve"> des Wirtschaftswachstums. So betrug der Vermögenszuwachs im Krisenjahr 2009 13,5 und im Jahr 2011 7,6 Prozent (Quelle: </w:t>
      </w:r>
      <w:proofErr w:type="spellStart"/>
      <w:r w:rsidRPr="009A6654">
        <w:t>Valuga</w:t>
      </w:r>
      <w:proofErr w:type="spellEnd"/>
      <w:r w:rsidRPr="009A6654">
        <w:t xml:space="preserve"> Vermögensreport 2011). Eine zentrale Ursache dieser </w:t>
      </w:r>
      <w:proofErr w:type="spellStart"/>
      <w:r w:rsidRPr="009A6654">
        <w:t>Reichtumskonzentration</w:t>
      </w:r>
      <w:proofErr w:type="spellEnd"/>
      <w:r w:rsidRPr="009A6654">
        <w:t xml:space="preserve"> sind stagnierende bzw. sinkende Löhne und steigende Kapitalerträge. Insgesamt wuchs die Wirtschaft im letzten Jahrzehnt um 37%. Die Unternehmens- und Kapitalerträge stiegen in diesem Zeitraum überproportional um 56%, die Löhne lediglich um 33% (Quelle: Sozialbericht 2011-2012). Parallel zu dieser Entwicklung haben Regierungen seit den 90er Jahren eine Reihe legaler Möglichkeiten geschaffen, die es Vermögenden und Konzernen ermöglicht, Steuern zu minimieren. Die jährlichen Vermögenszuwächse der Euro-</w:t>
      </w:r>
      <w:proofErr w:type="spellStart"/>
      <w:r w:rsidRPr="009A6654">
        <w:t>MillionärInnen</w:t>
      </w:r>
      <w:proofErr w:type="spellEnd"/>
      <w:r w:rsidRPr="009A6654">
        <w:t xml:space="preserve"> werden – im Gegensatz zum Einkommen aus Arbeit – einheitlich mit 25% besteuert. Zudem zahlen Konzerne trotz sprudelnder Gewinne oftmals nur sehr wenig oder gar keine Gewinnsteuern dort, wo sie ihre Geschäfte tätigen, während Klein- und Mittelbetriebe ihrer steuerlichen Verantwortung nachkommen. Laut Berechnungen des Deutschen Instituts für Wirtschaftsforschung entgehen der öffentlichen Hand in Deutschland durch die Anwendung von Steuertricks jährlich 90 Mrd. an Steuereinnahmen. Der Steuerausfall von EU-Ländern aufgrund von Steuervermeidung und Steuerhinterziehung liegt bei fast einer Billion Euro (Quelle: Richard Murphy, </w:t>
      </w:r>
      <w:proofErr w:type="spellStart"/>
      <w:r w:rsidRPr="009A6654">
        <w:t>Closing</w:t>
      </w:r>
      <w:proofErr w:type="spellEnd"/>
      <w:r w:rsidRPr="009A6654">
        <w:t xml:space="preserve"> </w:t>
      </w:r>
      <w:proofErr w:type="spellStart"/>
      <w:r w:rsidRPr="009A6654">
        <w:t>the</w:t>
      </w:r>
      <w:proofErr w:type="spellEnd"/>
      <w:r w:rsidRPr="009A6654">
        <w:t xml:space="preserve"> European </w:t>
      </w:r>
      <w:proofErr w:type="spellStart"/>
      <w:r w:rsidRPr="009A6654">
        <w:t>Tax</w:t>
      </w:r>
      <w:proofErr w:type="spellEnd"/>
      <w:r w:rsidRPr="009A6654">
        <w:t xml:space="preserve"> Gap 2012). Anteilig umgerechnet auf Österreich heißt das, dass dem österreichischen Staat jährlich mehrere Mrd. Euro an Steuereinnahmen fehlen. Steuerprivilegien für Kapitaleinkommen und Konzerne sind daher abzuschaffen und Steuerflucht muss endlich beendet werden.</w:t>
      </w:r>
    </w:p>
    <w:p w:rsidR="009A6654" w:rsidRDefault="009A6654" w:rsidP="00D50019">
      <w:pPr>
        <w:pStyle w:val="ZGBEinleitung"/>
      </w:pPr>
    </w:p>
    <w:p w:rsidR="009A6654" w:rsidRDefault="009A6654" w:rsidP="009A6654">
      <w:pPr>
        <w:pStyle w:val="ZGBFlietext"/>
        <w:rPr>
          <w:rFonts w:cs="Verdana"/>
          <w:b/>
          <w:bCs/>
          <w:color w:val="auto"/>
          <w:sz w:val="28"/>
          <w:szCs w:val="28"/>
        </w:rPr>
      </w:pPr>
      <w:r>
        <w:rPr>
          <w:rFonts w:cs="Verdana"/>
          <w:b/>
          <w:bCs/>
          <w:color w:val="auto"/>
          <w:sz w:val="28"/>
          <w:szCs w:val="28"/>
        </w:rPr>
        <w:t xml:space="preserve">Steuerprivilegien für </w:t>
      </w:r>
      <w:r w:rsidRPr="009A6654">
        <w:rPr>
          <w:rFonts w:cs="Verdana"/>
          <w:b/>
          <w:bCs/>
          <w:color w:val="auto"/>
          <w:sz w:val="28"/>
          <w:szCs w:val="28"/>
        </w:rPr>
        <w:t xml:space="preserve">Kapitaleinkommen abschaffen </w:t>
      </w:r>
    </w:p>
    <w:p w:rsidR="00D50019" w:rsidRDefault="009A6654" w:rsidP="00D50019">
      <w:pPr>
        <w:pStyle w:val="ZGBFlietext"/>
      </w:pPr>
      <w:r w:rsidRPr="009A6654">
        <w:t xml:space="preserve">Die Steuerbefreiung auf Kapitaleinkommen bei realisierten Wertzuwächsen beim Verkauf von Wertpapieren und bei Gewinnen aus dem Kauf und Verkauf von Häusern, Wohnungen, Geschäftslokalen und Grundstücken wurde bereits abgeschafft. Die Einhebung einer 25%igen Steuer ist ein Schritt in die richtige Richtung. Einkommen aus Arbeit, also Tätigkeiten, wo Menschen tagtäglich Leistungen erbringen, wird progressiv besteuert. Kapitaleinkommen sind dagegen leistungslose Einkommen und werden derzeit einheitlich nur mit 25% besteuert. Auch hier sollte es in Zukunft eine progressive Besteuerung geben, um die steuerliche Ungleichbehandlung von Lohn- und Kapitaleinkommen gänzlich abzuschaffen. Kapitaleinkommen sollen daher in Zukunft bei der Einkommensteuererklärung angegeben werden. Dies </w:t>
      </w:r>
      <w:proofErr w:type="gramStart"/>
      <w:r w:rsidRPr="009A6654">
        <w:t>würde</w:t>
      </w:r>
      <w:proofErr w:type="gramEnd"/>
      <w:r w:rsidRPr="009A6654">
        <w:t xml:space="preserve"> jährliche Mehreinnahmen von rund 700 Mio.  Euro bringen. Um sicherzustellen, dass bei geringen Zinseinkommen keine Einkommensteuererklärung abgegeben werden muss, ist eine Bagatellgrenze von 730 Euro pro Jahr vorzusehen. Das entspricht den jährlichen Zinseinkünften bei einem Sparvermögen von ca. 50.000 Euro. Die Umsetzung kann entweder durch die Einführung der automatischen Datenübermittlung der Zinseinkünfte </w:t>
      </w:r>
      <w:r w:rsidRPr="009A6654">
        <w:lastRenderedPageBreak/>
        <w:t>seitens der Banken an das Finanzamt sichergestellt werden oder mit einer Quellensteuer von 50% (Höchststeuersatz) für Zinseinkünfte oberhalb der Bagatellgrenze, die von den Banken wie bisher administriert wird. Eine Differenz auf den tatsachlichen Steuersatz wird im Rahmen einer Einkommensteuererklärung rückerstattet.</w:t>
      </w:r>
    </w:p>
    <w:p w:rsidR="009A6654" w:rsidRDefault="009A6654" w:rsidP="00D50019">
      <w:pPr>
        <w:pStyle w:val="ZGBFlietext"/>
      </w:pPr>
    </w:p>
    <w:p w:rsidR="009A6654" w:rsidRDefault="009A6654" w:rsidP="00D50019">
      <w:pPr>
        <w:pStyle w:val="ZGBFlietext"/>
        <w:rPr>
          <w:rFonts w:cs="Verdana"/>
          <w:b/>
          <w:bCs/>
          <w:color w:val="auto"/>
          <w:sz w:val="28"/>
          <w:szCs w:val="28"/>
        </w:rPr>
      </w:pPr>
      <w:r w:rsidRPr="009A6654">
        <w:rPr>
          <w:rFonts w:cs="Verdana"/>
          <w:b/>
          <w:bCs/>
          <w:color w:val="auto"/>
          <w:sz w:val="28"/>
          <w:szCs w:val="28"/>
        </w:rPr>
        <w:t xml:space="preserve">Gruppenbesteuerung reformieren </w:t>
      </w:r>
    </w:p>
    <w:p w:rsidR="009A6654" w:rsidRDefault="009A6654" w:rsidP="009A6654">
      <w:pPr>
        <w:pStyle w:val="ZGBFlietext"/>
      </w:pPr>
      <w:r>
        <w:t>Global agierende Unternehmen genießen in Österreich eine Reihe von Steuerprivilegien. Mit dem Steuerreformgesetz 2005 wurde neben der Körperschaftsteuersenkung eine Gruppenbesteuerung beschlossen, die im internationalen Vergleich und auch im Vergleich zur EU-Gruppenbesteuerung viel weiterführender ist. So ermöglicht die österreichische Gruppenbesteuerung Firmen mit Sitz in Österreich, ihre Gewinne in Österreich nicht nur mit Verlusten von Töchter in anderen EU-Ländern gegenzurechnen (wie es die EU-Gruppenbesteuerung vorsieht), sondern auch in Ländern außerhalb der EU. Darüber hinaus genügt in Österreich bereits eine 50%ige Beteiligung an einem ausländischen Unternehmen, um die Gruppenbesteuerung geltend zu machen und Verluste sofort gegenzurechnen. Die EU-Gruppenbesteuerung sieht einen höheren Beteiligungssatz vor und es dürfen nur dauerhafte Verluste gegengerechnet werden. Unsere Kritik an der österreichischen Gruppenbesteuerung wurde vom Rechnungshof bestätigt. Laut dessen Berechnungen gehen durch diese Regelung dem österreichischen Budget rund 450 Mio.  Euro oder rund zehn Prozent der jährlichen Einnahmen aus der Körperschaftsteuer verloren. Die 2005 eingeführte Regelung bedeutet auch einen höheren Verwaltungsaufwand: Allein 2011 betrug dieser 15 Mio.  Euro.</w:t>
      </w:r>
    </w:p>
    <w:p w:rsidR="009A6654" w:rsidRDefault="009A6654" w:rsidP="009A6654">
      <w:pPr>
        <w:pStyle w:val="ZGBFlietext"/>
      </w:pPr>
      <w:r>
        <w:t xml:space="preserve">Im Februar 2012 wurde lediglich eine kleine Reform der Gruppenbesteuerung beschlossen (siehe Kapitel „Unsere Erfolge“). Die Gruppenbesteuerung muss jedoch in einem weiteren Schritt an die EU-Gruppenbesteuerung angepasst werden. Konkret bedeutet das die Einschränkung der Gruppenbesteuerung auf ausländische Töchter in der EU sowie das Gegenverrechnen lediglich von dauerhaften Verlusten und bei höherer Unternehmensbeteiligung. </w:t>
      </w:r>
    </w:p>
    <w:p w:rsidR="009A6654" w:rsidRDefault="009A6654" w:rsidP="009A6654">
      <w:pPr>
        <w:pStyle w:val="ZGBFlietext"/>
      </w:pPr>
    </w:p>
    <w:p w:rsidR="00D50019" w:rsidRDefault="009A6654" w:rsidP="009A6654">
      <w:pPr>
        <w:pStyle w:val="ZGBFlietext"/>
      </w:pPr>
      <w:r>
        <w:t>Die steuerliche Absetzbarkeit von Firmenwertabschreibungen wurde 2014 erfreulicherweise abgeschafft. Dabei wurde eine Restlaufzeit für bereits getätigte Akquisitionen von bis zu 15 Jahren fixiert. Diese Restlaufzeit sollte ersatzlos gestrichen werden. Allein die VOEST müsste laut Medienberichten ohne dieses Instrument 169,5 Mio. Euro Körperschaftssteuern zahlen. Mit der Reform der Gruppenbesteuerung inklusive der Streichung der Restlaufzeit für Firmenwertabschreibungen können mindestens 250 Mio.  Euro mehr an Steuern eingenommen werden. Zusätzlich zu diesen Reformen soll das Finanzministerium verpflichtet werden, in Zukunft detaillierte Daten über die Gruppenbesteuerung und andere steuerliche Vorteile von Unternehmen zu erheben und zu veröffentlichen.</w:t>
      </w:r>
    </w:p>
    <w:p w:rsidR="009A6654" w:rsidRDefault="009A6654" w:rsidP="009A6654">
      <w:pPr>
        <w:pStyle w:val="ZGBFlietext"/>
      </w:pPr>
    </w:p>
    <w:p w:rsidR="00D50019" w:rsidRDefault="009A6654" w:rsidP="009A6654">
      <w:pPr>
        <w:pStyle w:val="ZGBFlietext"/>
      </w:pPr>
      <w:r w:rsidRPr="009A6654">
        <w:rPr>
          <w:rFonts w:cs="Verdana"/>
          <w:b/>
          <w:bCs/>
          <w:color w:val="auto"/>
          <w:sz w:val="28"/>
          <w:szCs w:val="28"/>
        </w:rPr>
        <w:t>Körpersc</w:t>
      </w:r>
      <w:r>
        <w:rPr>
          <w:rFonts w:cs="Verdana"/>
          <w:b/>
          <w:bCs/>
          <w:color w:val="auto"/>
          <w:sz w:val="28"/>
          <w:szCs w:val="28"/>
        </w:rPr>
        <w:t>haftsteuer an den durchschnitt</w:t>
      </w:r>
      <w:r w:rsidRPr="009A6654">
        <w:rPr>
          <w:rFonts w:cs="Verdana"/>
          <w:b/>
          <w:bCs/>
          <w:color w:val="auto"/>
          <w:sz w:val="28"/>
          <w:szCs w:val="28"/>
        </w:rPr>
        <w:t xml:space="preserve">lichen OECD-Steuersatz anpassen </w:t>
      </w:r>
      <w:r>
        <w:rPr>
          <w:rFonts w:cs="Verdana"/>
          <w:b/>
          <w:bCs/>
          <w:color w:val="auto"/>
          <w:sz w:val="28"/>
          <w:szCs w:val="28"/>
        </w:rPr>
        <w:br/>
      </w:r>
      <w:r w:rsidRPr="009A6654">
        <w:t>Wie bereits im vorangegangenen Kapitel erwähnt, wurde mit dem Steuerreformgesetz 2005 auch die Körperschaftsteuer (</w:t>
      </w:r>
      <w:proofErr w:type="spellStart"/>
      <w:r w:rsidRPr="009A6654">
        <w:t>KöSt</w:t>
      </w:r>
      <w:proofErr w:type="spellEnd"/>
      <w:r w:rsidRPr="009A6654">
        <w:t xml:space="preserve">) gesenkt. Die </w:t>
      </w:r>
      <w:proofErr w:type="spellStart"/>
      <w:r w:rsidRPr="009A6654">
        <w:t>KöSt</w:t>
      </w:r>
      <w:proofErr w:type="spellEnd"/>
      <w:r w:rsidRPr="009A6654">
        <w:t xml:space="preserve"> ist eine Steuer auf das Einkommen von Unternehmen. Dieses wird mit einem fixen Steuersatz besteuert. Bis 2004 betrug der Steuersatz 34%, mit der Reform von 2005 wurde dieser Steuersatz auf 25% abgesenkt. Diese Senkung hat dazu geführt, dass Unternehmen weniger zur Finanzierung von öffentlichen Leistungen und Infrastruktur, die auch ihnen </w:t>
      </w:r>
      <w:proofErr w:type="spellStart"/>
      <w:r w:rsidRPr="009A6654">
        <w:t>zugute kommen</w:t>
      </w:r>
      <w:proofErr w:type="spellEnd"/>
      <w:r w:rsidRPr="009A6654">
        <w:t xml:space="preserve"> (wie z. B. Straßen oder öffentliches Verkehrsnetz, Kommunikation, ein gutes Bildungs- oder Gesundheitswesen etc.) beitragen. Der Steuersatz liegt nunmehr auch unter dem OECD Durchschnitt von 27,5%. Ziel muss es sein, auch seitens der Unternehmen wieder einen gerechten Beitrag zur Finanzierung öffentlicher Aufgaben sicherzustellen. Neben der Reform der Gruppenbesteuerung gehört dazu auch – in einem ersten Schritt – die Anpassung der </w:t>
      </w:r>
      <w:proofErr w:type="spellStart"/>
      <w:r w:rsidRPr="009A6654">
        <w:t>KöSt</w:t>
      </w:r>
      <w:proofErr w:type="spellEnd"/>
      <w:r w:rsidRPr="009A6654">
        <w:t xml:space="preserve"> an den OECD Durchschnitt. Das würde jährlich zusätzliche 500 Mio. Euro an Mehreinnahmen bedeuten. Mittelfristig geht es auch darum, den EU-internen Steuerwettbewerb zu beenden und EU-weit gleich </w:t>
      </w:r>
      <w:proofErr w:type="gramStart"/>
      <w:r w:rsidRPr="009A6654">
        <w:t>hohe</w:t>
      </w:r>
      <w:proofErr w:type="gramEnd"/>
      <w:r w:rsidRPr="009A6654">
        <w:t xml:space="preserve"> Steuern für Unternehmen einzuheben. Nur so kann die Spirale von immer geringer werdenden Steuern für Unternehmen beendet werden.</w:t>
      </w:r>
    </w:p>
    <w:p w:rsidR="009A6654" w:rsidRDefault="009A6654" w:rsidP="009A6654">
      <w:pPr>
        <w:pStyle w:val="ZGBFlietext"/>
      </w:pPr>
    </w:p>
    <w:p w:rsidR="009A6654" w:rsidRDefault="009A6654" w:rsidP="009A6654">
      <w:pPr>
        <w:pStyle w:val="ZGBFlietext"/>
        <w:rPr>
          <w:rFonts w:cs="Verdana"/>
          <w:b/>
          <w:bCs/>
          <w:color w:val="auto"/>
          <w:sz w:val="28"/>
          <w:szCs w:val="28"/>
        </w:rPr>
      </w:pPr>
      <w:r w:rsidRPr="009A6654">
        <w:rPr>
          <w:rFonts w:cs="Verdana"/>
          <w:b/>
          <w:bCs/>
          <w:color w:val="auto"/>
          <w:sz w:val="28"/>
          <w:szCs w:val="28"/>
        </w:rPr>
        <w:t>Gesamtkonzernsteuer einführen</w:t>
      </w:r>
    </w:p>
    <w:p w:rsidR="009A6654" w:rsidRPr="009A6654" w:rsidRDefault="009A6654" w:rsidP="009A6654">
      <w:r w:rsidRPr="009A6654">
        <w:t xml:space="preserve">Die Reform der Gruppenbesteuerung, die Abschaffung der steuerlichen Absetzbarkeit von Firmenwertabschreibungen und die Anpassung der Körperschaftssteuer an den OECD-Durchschnitt sind nur erste Elemente einer Reform der Unternehmensbesteuerung. Denn es gibt für transnational agierende Konzerne eine Vielzahl von Möglichkeiten, Steuern zu vermeiden. Dazu zählen u.a. die Anwendung von </w:t>
      </w:r>
      <w:r w:rsidRPr="009A6654">
        <w:lastRenderedPageBreak/>
        <w:t>Verrechnungspreisen, Lizenzgebühren, die Veranlagung des Konzernkapitals in Ländern, die Zinsen niedrig besteuern und die Nutzung von Steueroasen. Daher ist für Konzerne in einem ersten Schritt auf EU-Ebene – und letztlich global – eine Gesamtkonzernsteuer einzuführen (</w:t>
      </w:r>
      <w:proofErr w:type="spellStart"/>
      <w:r w:rsidRPr="009A6654">
        <w:t>Unitary</w:t>
      </w:r>
      <w:proofErr w:type="spellEnd"/>
      <w:r w:rsidRPr="009A6654">
        <w:t xml:space="preserve"> Taxation). Die Gesamtkonzernsteuer</w:t>
      </w:r>
    </w:p>
    <w:p w:rsidR="009A6654" w:rsidRDefault="009A6654" w:rsidP="009A6654">
      <w:r w:rsidRPr="009A6654">
        <w:t>ist eine Form der Besteuerung internationaler Konzerne in drei Schritten. Zunächst wird ein Konzern als eine Einheit betrachtet und er muss sämtliche Aktivitäten aller Töchter in allen Ländern offenlegen. Im zweiten Schritt wird mit Hilfe einer Formel der Gewinn des Konzerns nach dessen tatsächlichen Aktivitäten den einzelnen Ländern zugeordnet. In die Formel fließt u.a. ein, wie umfangreich ein Konzern in einem Land investiert, wie viele Menschen für wie viel Geld in einem Land arbeiten, welchen Umsatz das Unternehmen dort tatsächlich macht. Im dritten Schritt wird der Konzern in jedem Land nach dessen Steuersätzen besteuert, wobei der Mindeststeuersatz 25% betragen soll. Mit diesem Modell können Konzerne dann Verlust und Gewinne nicht mehr kreativ gegenrechnen, der einheitliche Mindestsatz stellt sicher, dass der Steuerwettbewerb zwischen den Ländern beendet wird. Mit einer solchen Gesamtkonzernsteuer würden in Österreich mehrere Milliarden Euro mehr in den öffentlichen Haushalt fließen und für Investitionen in die öffentliche Infrastruktur – von Bildung über nachhaltige Mobilität oder leistbares Wohnen – zur Verfügung stehen. Aufgrund fehlender Daten schätzen wir die zusätzlichen Einnahmen daraus konservativ auf mindestens eine Milliarde Euro.</w:t>
      </w:r>
    </w:p>
    <w:p w:rsidR="009A6654" w:rsidRDefault="009A6654" w:rsidP="009A6654">
      <w:pPr>
        <w:pStyle w:val="ZGBManahme"/>
      </w:pPr>
      <w:r>
        <w:t>Steuerflucht beenden und Umsatzsteuerbetrug reduzieren</w:t>
      </w:r>
    </w:p>
    <w:p w:rsidR="00D50019" w:rsidRDefault="009A6654" w:rsidP="00053152">
      <w:r w:rsidRPr="009A6654">
        <w:t>Abgesehen von der legalen Steuervermeidung, die es vor allem Konzernen ermöglicht sich ihres steuerlichen Beitrags zur Finanzierung gesellschaftlicher Aufgaben zu entziehen, nutzen vor allem Vermögende und Konzerne auch eine Reihe illegaler Maßnahmen um weniger oder keine Steuern zu zahlen, allen voran die Verschiebung von Geldern in sogenannte Steueroasen. Bilaterale Steuerabkommen wie sie Österreich 2012 mit der Schweiz geschlossen hat, sind keine Lösung dafür. Im Gegenteil: sie belohnen jene, die ihr Vermögen bereits in die Steueroase verschoben haben mit der Möglichkeit ihre Steuerhinterziehung mit einer rückwirkenden Einmalzahlung legalisieren zu können. Solche Abkommen legalisieren auch Steueroasen. Diese müssen jedoch lückenlos geschlossen werden. Maßnahmen dafür sind u.a. die Einführung einer Meldepflicht für sämtliche Einkommen von Nichtansässigen an die jeweils zuständigen Finanzämter im Rahmen eines automatischen Informationsaustausches. Die Einkommen natürlicher Personen sind zu 100% im Wohnsitzland zu versteuern. Bei Nichtkooperation braucht es Sanktionsmöglichkeiten, wie z. B. die Einschränkung des Kapitalverkehrs von und zu Steueroasen, Transaktionssteuern, den Entzug der Lizenz in Hauptsitzländern von jenen Banken und Konzernen, die in Steueroasen Tochterunternehmen bzw. Briefkastenfirmen unterhalten. Mindestens eine Milliarde Euro mehr würden dadurch für öffentliche Investitionen zur Verfügung stehen. Darüber hinaus gilt es Maßnahmen zu setzen, die den Umsatzsteuerbetrug reduzieren, wie z. B. die Einführung einer Registrierkassenpflicht.</w:t>
      </w:r>
    </w:p>
    <w:p w:rsidR="00D50019" w:rsidRDefault="00D50019" w:rsidP="00D50019">
      <w:pPr>
        <w:pStyle w:val="ZGBFlietext"/>
      </w:pPr>
    </w:p>
    <w:p w:rsidR="00D50019" w:rsidRDefault="00D50019" w:rsidP="009A6654">
      <w:pPr>
        <w:pStyle w:val="berschrift2"/>
      </w:pPr>
      <w:bookmarkStart w:id="26" w:name="_Toc406072769"/>
      <w:r>
        <w:t xml:space="preserve">Ökosteuern, die der Umwelt </w:t>
      </w:r>
      <w:r w:rsidRPr="006738E5">
        <w:t>nützen</w:t>
      </w:r>
      <w:bookmarkEnd w:id="26"/>
      <w:r>
        <w:t xml:space="preserve"> </w:t>
      </w:r>
    </w:p>
    <w:p w:rsidR="00D50019" w:rsidRDefault="00D50019" w:rsidP="00D50019">
      <w:pPr>
        <w:pStyle w:val="ZGBFlietext"/>
      </w:pPr>
    </w:p>
    <w:p w:rsidR="00D50019" w:rsidRDefault="00DF06BC" w:rsidP="00D50019">
      <w:pPr>
        <w:pStyle w:val="ZGBEinleitung"/>
      </w:pPr>
      <w:r w:rsidRPr="00DF06BC">
        <w:t xml:space="preserve">Am gesamten Abgabenaufkommen in Österreich machen Ökosteuern derzeit 7 Mrd.  Euro aus, das sind rund 6%. Dieser Anteil soll schrittweise erhöht werden – mit dem Ziel, ihn auf 14 Mrd.  Euro zu verdoppeln. Diesem höheren Steueraufkommen aus der Besteuerung von Energie und Rohstoffen sollen auf der anderen Seite die steuerliche Entlastung von Arbeit und die Auszahlung eines </w:t>
      </w:r>
      <w:proofErr w:type="spellStart"/>
      <w:r w:rsidRPr="00DF06BC">
        <w:t>Ökobonus</w:t>
      </w:r>
      <w:proofErr w:type="spellEnd"/>
      <w:r w:rsidRPr="00DF06BC">
        <w:t xml:space="preserve"> für Haushalte bzw. eines </w:t>
      </w:r>
      <w:proofErr w:type="spellStart"/>
      <w:r w:rsidRPr="00DF06BC">
        <w:t>InNoVationsbonus</w:t>
      </w:r>
      <w:proofErr w:type="spellEnd"/>
      <w:r w:rsidRPr="00DF06BC">
        <w:t xml:space="preserve"> für Unternehmen gegenüberstehen. Damit soll sichergestellt werden, dass alle Menschen in Österreich in den Genuss dieser Entlastungen kommen. Bei der Einführung bzw. Erhöhung von Ökosteuern geht es also zentral um eine steuerliche Umschichtung, nicht um eine steuerliche Mehrbelastung. Bis zur Einführung einer umfassenden Besteuerung von Energie und Rohstoffen und des Öko- bzw. </w:t>
      </w:r>
      <w:proofErr w:type="spellStart"/>
      <w:r w:rsidRPr="00DF06BC">
        <w:t>InNoVationsbonus</w:t>
      </w:r>
      <w:proofErr w:type="spellEnd"/>
      <w:r w:rsidRPr="00DF06BC">
        <w:t xml:space="preserve"> schlagen wir zwischenzeitlich eine Reihe von Maßnahmen vor, die den Umbau der österreichischen Wirtschaft in Richtung ökologisch nachhaltig und sozial gerecht fördern. Teil einer umfassenden Reform bei den Ökosteuern muss auch die Indexierung der Steuern sein. Die meisten Ökosteuern sind fast ausnahmslos Steuern in Cent pro Mengeneinheit (Beispiel: Mineralölsteuer für Benzin </w:t>
      </w:r>
      <w:r w:rsidRPr="00DF06BC">
        <w:lastRenderedPageBreak/>
        <w:t>ist 48c/l). Dagegen sind Steuern auf Arbeit und Umsatz wertgebunden (z. B. 20% Mehrwertsteuer). Steigt also der Preis für ein Produkt, steigt automatisch die Steuer. Die Folge: Umweltsteuern unterliegen durch die Inflation einer automatischen Entwertung, Steuern auf Arbeit und Umsatz einer automatischen Aufwertung. Daher ist eine Indexierung notwendig. Eine reale Erhöhung von Umweltsteuern muss im Abtausch mit niedrigeren Steuern auf Arbeit einhergehen.</w:t>
      </w:r>
    </w:p>
    <w:p w:rsidR="00DF06BC" w:rsidRDefault="00DF06BC" w:rsidP="00D50019">
      <w:pPr>
        <w:pStyle w:val="ZGBEinleitung"/>
      </w:pPr>
    </w:p>
    <w:p w:rsidR="00D50019" w:rsidRDefault="00D50019" w:rsidP="00D50019">
      <w:pPr>
        <w:pStyle w:val="ZGBManahme"/>
      </w:pPr>
      <w:r w:rsidRPr="00D50019">
        <w:t>Angleichung der Mineralölsteuer (</w:t>
      </w:r>
      <w:proofErr w:type="spellStart"/>
      <w:r w:rsidRPr="00D50019">
        <w:t>MöSt</w:t>
      </w:r>
      <w:proofErr w:type="spellEnd"/>
      <w:r w:rsidRPr="00D50019">
        <w:t xml:space="preserve">) für Diesel </w:t>
      </w:r>
    </w:p>
    <w:p w:rsidR="00D50019" w:rsidRDefault="00DF06BC" w:rsidP="00D50019">
      <w:pPr>
        <w:pStyle w:val="ZGBManahme"/>
        <w:rPr>
          <w:rFonts w:cs="MinionPro-Regular"/>
          <w:b w:val="0"/>
          <w:bCs w:val="0"/>
          <w:color w:val="000000" w:themeColor="text1"/>
          <w:sz w:val="22"/>
          <w:szCs w:val="22"/>
        </w:rPr>
      </w:pPr>
      <w:r w:rsidRPr="00DF06BC">
        <w:rPr>
          <w:rFonts w:cs="MinionPro-Regular"/>
          <w:b w:val="0"/>
          <w:bCs w:val="0"/>
          <w:color w:val="000000" w:themeColor="text1"/>
          <w:sz w:val="22"/>
          <w:szCs w:val="22"/>
        </w:rPr>
        <w:t xml:space="preserve">Um den Umstieg von motorisiertem Individualverkehr auf öffentlichen Verkehr zu fördern, ist die schrittweise Erhöhung von Steuern auf Benzin und Diesel an das europäische Durchschnittsniveau bei gleichzeitigem Ausbau der öffentlichen Verkehrsinfrastruktur ein zentrales Element. Im europäischen Vergleich werden Benzin und Diesel in Österreich geringer besteuert, innerhalb Österreichs gibt es auch zwischen Benzin und Diesel eine Ungleichbehandlung. In einem ersten Schritt geht es darum, die steuerliche Ungleichbehandlung zwischen Benzin und Diesel aufzuheben. 2015 und 2016 soll die </w:t>
      </w:r>
      <w:proofErr w:type="spellStart"/>
      <w:r w:rsidRPr="00DF06BC">
        <w:rPr>
          <w:rFonts w:cs="MinionPro-Regular"/>
          <w:b w:val="0"/>
          <w:bCs w:val="0"/>
          <w:color w:val="000000" w:themeColor="text1"/>
          <w:sz w:val="22"/>
          <w:szCs w:val="22"/>
        </w:rPr>
        <w:t>MöSt</w:t>
      </w:r>
      <w:proofErr w:type="spellEnd"/>
      <w:r w:rsidRPr="00DF06BC">
        <w:rPr>
          <w:rFonts w:cs="MinionPro-Regular"/>
          <w:b w:val="0"/>
          <w:bCs w:val="0"/>
          <w:color w:val="000000" w:themeColor="text1"/>
          <w:sz w:val="22"/>
          <w:szCs w:val="22"/>
        </w:rPr>
        <w:t xml:space="preserve"> auf Diesel um jeweils 4 Cent angehoben werden, um die gleiche steuerliche Belastung wie bei Benzin zu erreichen. In Summe brächte das jährliche Mehreinnahmen von rund 400 Mio.  Euro (unter Berücksichtigung des bereits abnehmenden „Tank-Tourismus“).</w:t>
      </w:r>
    </w:p>
    <w:p w:rsidR="00DF06BC" w:rsidRDefault="00DF06BC" w:rsidP="00D50019">
      <w:pPr>
        <w:pStyle w:val="ZGBManahme"/>
      </w:pPr>
    </w:p>
    <w:p w:rsidR="00D50019" w:rsidRPr="00D50019" w:rsidRDefault="00D50019" w:rsidP="00D50019">
      <w:pPr>
        <w:pStyle w:val="ZGBManahme"/>
      </w:pPr>
      <w:r w:rsidRPr="00D50019">
        <w:t>LKW-Maut auf allen Straßen in Österreich</w:t>
      </w:r>
    </w:p>
    <w:p w:rsidR="00D50019" w:rsidRDefault="00DF06BC" w:rsidP="00D50019">
      <w:pPr>
        <w:pStyle w:val="ZGBManahme"/>
      </w:pPr>
      <w:r w:rsidRPr="00DF06BC">
        <w:rPr>
          <w:rFonts w:cs="MinionPro-Regular"/>
          <w:b w:val="0"/>
          <w:bCs w:val="0"/>
          <w:color w:val="000000" w:themeColor="text1"/>
          <w:sz w:val="22"/>
          <w:szCs w:val="22"/>
        </w:rPr>
        <w:t xml:space="preserve">Derzeit wird die LKW-Maut nur auf dem hochrangigen Netz - also auf Autobahnen und Schnellstraßen – eingehoben. Diese Regelung fördert ein Ausweichen auf Straßen, die durch Gemeinden führen, und erhöht damit entsprechend die Lärm- und Schadstoffbelastung der </w:t>
      </w:r>
      <w:proofErr w:type="spellStart"/>
      <w:r w:rsidRPr="00DF06BC">
        <w:rPr>
          <w:rFonts w:cs="MinionPro-Regular"/>
          <w:b w:val="0"/>
          <w:bCs w:val="0"/>
          <w:color w:val="000000" w:themeColor="text1"/>
          <w:sz w:val="22"/>
          <w:szCs w:val="22"/>
        </w:rPr>
        <w:t>AnrainerInnen</w:t>
      </w:r>
      <w:proofErr w:type="spellEnd"/>
      <w:r w:rsidRPr="00DF06BC">
        <w:rPr>
          <w:rFonts w:cs="MinionPro-Regular"/>
          <w:b w:val="0"/>
          <w:bCs w:val="0"/>
          <w:color w:val="000000" w:themeColor="text1"/>
          <w:sz w:val="22"/>
          <w:szCs w:val="22"/>
        </w:rPr>
        <w:t xml:space="preserve">. Darüber hinaus wird die LKW-Maut nur für LKW über 3,5 Tonnen eingehoben. Klein-LKW machen aber mittlerweile 80% der LKW-Flotte aus. Die Kosten für die Straßenabnutzung werden von den </w:t>
      </w:r>
      <w:proofErr w:type="spellStart"/>
      <w:r w:rsidRPr="00DF06BC">
        <w:rPr>
          <w:rFonts w:cs="MinionPro-Regular"/>
          <w:b w:val="0"/>
          <w:bCs w:val="0"/>
          <w:color w:val="000000" w:themeColor="text1"/>
          <w:sz w:val="22"/>
          <w:szCs w:val="22"/>
        </w:rPr>
        <w:t>SteuerzahlerInnen</w:t>
      </w:r>
      <w:proofErr w:type="spellEnd"/>
      <w:r w:rsidRPr="00DF06BC">
        <w:rPr>
          <w:rFonts w:cs="MinionPro-Regular"/>
          <w:b w:val="0"/>
          <w:bCs w:val="0"/>
          <w:color w:val="000000" w:themeColor="text1"/>
          <w:sz w:val="22"/>
          <w:szCs w:val="22"/>
        </w:rPr>
        <w:t xml:space="preserve"> und nicht von den Transportunternehmen getragen. Der Kostendeckungsbeitrag auf Straßen ist daher entsprechend gering. Hinzu kommt, dass der Güterverkehr auf der Schiene im gesamten Netz eine Schienenmaut bezahlen muss und daher benachteiligt ist. Mit den Klimazielen Österreichs ist das nicht vereinbar. Durch eine flächendeckende LKW-Maut wird der Verkehr auf die Autobahnen verlagert und die Kostenwahrheit wird verbessert. Die bestehende LKW–Maut wird auf alle Straßen, die von LKW befahren werden, erweitert und auf Klein-LKW unter 3,5 Tonnen ausgeweitet. Die Höhe der LKW-Maut wird nach dem Verursacherprinzip berechnet (d.  h. dass z.  B. schwerere und die Umwelt stärker verschmutzende LKW verhältnismäßig höher belastet werden). In Summe bringt das jährlich Mehreinnahmen von 370 Mio.  Euro (laut BMVIT-Berechnungen).</w:t>
      </w:r>
    </w:p>
    <w:p w:rsidR="006738E5" w:rsidRDefault="006738E5" w:rsidP="00564093">
      <w:pPr>
        <w:pStyle w:val="ZGBManahme"/>
      </w:pPr>
    </w:p>
    <w:p w:rsidR="00564093" w:rsidRDefault="00564093" w:rsidP="00564093">
      <w:pPr>
        <w:pStyle w:val="ZGBManahme"/>
      </w:pPr>
      <w:r w:rsidRPr="00564093">
        <w:t>Kerosinbesteuerung</w:t>
      </w:r>
    </w:p>
    <w:p w:rsidR="00564093" w:rsidRDefault="00DF06BC" w:rsidP="00564093">
      <w:pPr>
        <w:pStyle w:val="ZGBFlietext"/>
      </w:pPr>
      <w:r w:rsidRPr="00DF06BC">
        <w:t>Obwohl es in Österreich auch eine Kerosinsteuer gibt, wird diese gegenwärtig nur bei Privatfliegern, die in Österreich tanken, eingehoben. Ziel ist es, die Kerosinsteuerbefreiung auf allen Ebenen (Österreich, EU-weit und global) abzuschaffen. Die Besteuerung von Kerosin für EU-Flüge bzw. alle Flüge bedarf einer entsprechenden EU-weiten und globalen Regelung. Diese neuen Regeln können auf der europäischen Ebene bereits in den nächsten Entwurf zur neuen europäischen Energiesteuerrichtlinie eingehen und auf globaler Ebene im Rahmen eines Klimaabkommens beschlossen werden. Würde Kerosin wie Benzin besteuert, brächte das jährliche Steuereinnahmen von 390 Mio.  Euro.</w:t>
      </w:r>
    </w:p>
    <w:p w:rsidR="00DF06BC" w:rsidRDefault="00DF06BC" w:rsidP="00564093">
      <w:pPr>
        <w:pStyle w:val="ZGBFlietext"/>
      </w:pPr>
    </w:p>
    <w:p w:rsidR="00564093" w:rsidRDefault="00564093" w:rsidP="00564093">
      <w:pPr>
        <w:pStyle w:val="ZGBManahme"/>
      </w:pPr>
      <w:r w:rsidRPr="00564093">
        <w:t>Reform der Normverbraucherabgabe (</w:t>
      </w:r>
      <w:proofErr w:type="spellStart"/>
      <w:r w:rsidRPr="00564093">
        <w:t>NoVA</w:t>
      </w:r>
      <w:proofErr w:type="spellEnd"/>
      <w:r w:rsidRPr="00564093">
        <w:t xml:space="preserve">) </w:t>
      </w:r>
    </w:p>
    <w:p w:rsidR="00DF06BC" w:rsidRDefault="00DF06BC" w:rsidP="00DF06BC">
      <w:pPr>
        <w:pStyle w:val="ZGBFlietext"/>
      </w:pPr>
      <w:r>
        <w:t xml:space="preserve">Die </w:t>
      </w:r>
      <w:proofErr w:type="spellStart"/>
      <w:r>
        <w:t>NoVA</w:t>
      </w:r>
      <w:proofErr w:type="spellEnd"/>
      <w:r>
        <w:t xml:space="preserve"> ist eine Abgabe, die bei der Neuanmeldung von Motorrädern, Personenkraftwagen, Kombinationskraftwagen, Kleinbussen, Campingbussen und Sonderfahrzeugen einmalig beim Kauf anfällt. Die Reform der </w:t>
      </w:r>
      <w:proofErr w:type="spellStart"/>
      <w:r>
        <w:t>NoVA</w:t>
      </w:r>
      <w:proofErr w:type="spellEnd"/>
      <w:r>
        <w:t xml:space="preserve"> ist ein Schritt in die richtige Richtung, weitere Reformen sind jedoch notwendig, um die Kaufentscheidung von Personen in Richtung CO2-armer Autos bzw. in Richtung Elektroauto noch stärker zu fördern:</w:t>
      </w:r>
    </w:p>
    <w:p w:rsidR="00DF06BC" w:rsidRDefault="00DF06BC" w:rsidP="00DF06BC">
      <w:pPr>
        <w:pStyle w:val="ZGBFlietext"/>
        <w:numPr>
          <w:ilvl w:val="0"/>
          <w:numId w:val="41"/>
        </w:numPr>
      </w:pPr>
      <w:r>
        <w:t xml:space="preserve">Für Autos, die Null CO2 ausstoßen, soll keine </w:t>
      </w:r>
      <w:proofErr w:type="spellStart"/>
      <w:r>
        <w:t>NoVA</w:t>
      </w:r>
      <w:proofErr w:type="spellEnd"/>
      <w:r>
        <w:t xml:space="preserve"> bezahlen</w:t>
      </w:r>
    </w:p>
    <w:p w:rsidR="00DF06BC" w:rsidRDefault="00DF06BC" w:rsidP="00DF06BC">
      <w:pPr>
        <w:pStyle w:val="ZGBFlietext"/>
        <w:numPr>
          <w:ilvl w:val="0"/>
          <w:numId w:val="41"/>
        </w:numPr>
      </w:pPr>
      <w:r>
        <w:t xml:space="preserve">Für Autos, die bis zu 140g CO2/km ausstoßen, soll im Jahr eins der Reform noch die gleich hohe </w:t>
      </w:r>
      <w:proofErr w:type="spellStart"/>
      <w:r>
        <w:t>NoVA</w:t>
      </w:r>
      <w:proofErr w:type="spellEnd"/>
      <w:r>
        <w:t xml:space="preserve"> bezahlen. Dieser Wert sinkt in den folgenden vier Jahren um jeweils 10g CO2/km auf letztlich 100g CO2/km. Bis dahin steigt die </w:t>
      </w:r>
      <w:proofErr w:type="spellStart"/>
      <w:r>
        <w:t>NoVA</w:t>
      </w:r>
      <w:proofErr w:type="spellEnd"/>
      <w:r>
        <w:t xml:space="preserve"> linear an.</w:t>
      </w:r>
    </w:p>
    <w:p w:rsidR="00DF06BC" w:rsidRDefault="00DF06BC" w:rsidP="00DF06BC">
      <w:pPr>
        <w:pStyle w:val="ZGBFlietext"/>
        <w:numPr>
          <w:ilvl w:val="0"/>
          <w:numId w:val="41"/>
        </w:numPr>
      </w:pPr>
      <w:r>
        <w:lastRenderedPageBreak/>
        <w:t xml:space="preserve">Bei Autos, die mehr als 140g CO2/km ausstoßen (bzw. ab dem 5. Jahr der Reform 100g CO2/km), wird die </w:t>
      </w:r>
      <w:proofErr w:type="spellStart"/>
      <w:r>
        <w:t>NoVA</w:t>
      </w:r>
      <w:proofErr w:type="spellEnd"/>
      <w:r>
        <w:t xml:space="preserve"> progressiv berechnet: je höher der CO2 Ausstoß pro km, desto höher die Abgabe. Hier gibt es keine Deckelung nach oben.</w:t>
      </w:r>
    </w:p>
    <w:p w:rsidR="00564093" w:rsidRDefault="00DF06BC" w:rsidP="00DF06BC">
      <w:pPr>
        <w:pStyle w:val="ZGBFlietext"/>
      </w:pPr>
      <w:r>
        <w:t xml:space="preserve">Die derzeitige Spreizung der </w:t>
      </w:r>
      <w:proofErr w:type="spellStart"/>
      <w:r>
        <w:t>NoVA</w:t>
      </w:r>
      <w:proofErr w:type="spellEnd"/>
      <w:r>
        <w:t xml:space="preserve"> von 5% bis 16% auf den Kaufpreis soll in Zukunft dadurch viel höher sein. Die Einnahmen aus der </w:t>
      </w:r>
      <w:proofErr w:type="spellStart"/>
      <w:r>
        <w:t>NoVA</w:t>
      </w:r>
      <w:proofErr w:type="spellEnd"/>
      <w:r>
        <w:t xml:space="preserve"> betrugen 2013 rund 457 Mio.  Euro. Mit der oben beschriebenen Reform soll in einem ersten Schritt dieser Betrag verdoppelt werden. Im Lauf der Jahre werden die Einnahmen der </w:t>
      </w:r>
      <w:proofErr w:type="spellStart"/>
      <w:r>
        <w:t>NoVA</w:t>
      </w:r>
      <w:proofErr w:type="spellEnd"/>
      <w:r>
        <w:t xml:space="preserve"> dann wieder absinken, da die höhere Abgabe die </w:t>
      </w:r>
      <w:proofErr w:type="spellStart"/>
      <w:r>
        <w:t>KonsumentInnen</w:t>
      </w:r>
      <w:proofErr w:type="spellEnd"/>
      <w:r>
        <w:t xml:space="preserve"> dazu bringen soll, ökologisch weniger schädliche Autos zu kaufen. Zusätzlich zu dieser Reform sollen auch die bestehenden Ausnahmen für Klein-LKW, Fahrschulautos, Taxis etc. von der </w:t>
      </w:r>
      <w:proofErr w:type="spellStart"/>
      <w:r>
        <w:t>NoVA</w:t>
      </w:r>
      <w:proofErr w:type="spellEnd"/>
      <w:r>
        <w:t xml:space="preserve"> aufgehoben werden. Allein die Aufhebung bei Klein-LKW brächte rund 45 Mio.  Euro jährlich. In Summe wären dadurch 502 Mio.  Euro an zusätzlichen Steuereinnahmen für Zukunftsinvestitionen vorhanden.</w:t>
      </w:r>
    </w:p>
    <w:p w:rsidR="00DF06BC" w:rsidRDefault="00DF06BC" w:rsidP="00DF06BC">
      <w:pPr>
        <w:pStyle w:val="ZGBFlietext"/>
      </w:pPr>
    </w:p>
    <w:p w:rsidR="00DF06BC" w:rsidRDefault="00DF06BC" w:rsidP="00DF06BC">
      <w:pPr>
        <w:pStyle w:val="ZGBFlietext"/>
      </w:pPr>
    </w:p>
    <w:p w:rsidR="00DF06BC" w:rsidRDefault="0013398F" w:rsidP="0013398F">
      <w:pPr>
        <w:pStyle w:val="ZGBFlietext"/>
        <w:jc w:val="center"/>
      </w:pPr>
      <w:r>
        <w:rPr>
          <w:noProof/>
          <w:lang w:val="de-AT" w:eastAsia="de-AT"/>
        </w:rPr>
        <w:drawing>
          <wp:inline distT="0" distB="0" distL="0" distR="0">
            <wp:extent cx="5092996" cy="4945320"/>
            <wp:effectExtent l="0" t="0" r="0" b="8255"/>
            <wp:docPr id="1" name="Grafik 1" descr="X:\WadK\Alternatives Budget\2015\Grafiken\Ökosteue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WadK\Alternatives Budget\2015\Grafiken\Ökosteuer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3080" cy="4945402"/>
                    </a:xfrm>
                    <a:prstGeom prst="rect">
                      <a:avLst/>
                    </a:prstGeom>
                    <a:noFill/>
                    <a:ln>
                      <a:noFill/>
                    </a:ln>
                  </pic:spPr>
                </pic:pic>
              </a:graphicData>
            </a:graphic>
          </wp:inline>
        </w:drawing>
      </w:r>
    </w:p>
    <w:p w:rsidR="00DF06BC" w:rsidRDefault="00DF06BC" w:rsidP="00564093">
      <w:pPr>
        <w:pStyle w:val="ZGBManahme"/>
      </w:pPr>
    </w:p>
    <w:p w:rsidR="00564093" w:rsidRDefault="00564093" w:rsidP="00564093">
      <w:pPr>
        <w:pStyle w:val="ZGBManahme"/>
      </w:pPr>
      <w:r w:rsidRPr="00564093">
        <w:t xml:space="preserve">Reform der steuerlichen Begünstigung für Firmenwagen </w:t>
      </w:r>
    </w:p>
    <w:p w:rsidR="00DF06BC" w:rsidRDefault="00DF06BC" w:rsidP="00DF06BC">
      <w:pPr>
        <w:pStyle w:val="ZGBFlietext"/>
      </w:pPr>
      <w:r>
        <w:t xml:space="preserve">In Österreich wurden 2013 laut Statistik Austria 319.035 neue PKWs zugelassen. Rund die Hälfte der Neuzulassungen wurde von Firmen und Institutionen durchgeführt. Ein Grund dafür ist, dass immer mehr Unternehmen ihren </w:t>
      </w:r>
      <w:proofErr w:type="spellStart"/>
      <w:r>
        <w:t>MitarbeiterInnen</w:t>
      </w:r>
      <w:proofErr w:type="spellEnd"/>
      <w:r>
        <w:t xml:space="preserve"> Firmenautos auch für die private Nutzung zur Verfügung stellen und damit einen Teil des Gehaltes fast steuerfrei leisten. Die Konsequenz ist,</w:t>
      </w:r>
    </w:p>
    <w:p w:rsidR="00DF06BC" w:rsidRDefault="00DF06BC" w:rsidP="00DF06BC">
      <w:pPr>
        <w:pStyle w:val="ZGBFlietext"/>
      </w:pPr>
      <w:r>
        <w:t xml:space="preserve">dass mehr Fahrzeuge als nötig angeschafft bzw. mehr Fahrten mit dem Auto zurückgelegt werden und dass </w:t>
      </w:r>
      <w:proofErr w:type="spellStart"/>
      <w:r>
        <w:t>MitarbeiterInnen</w:t>
      </w:r>
      <w:proofErr w:type="spellEnd"/>
      <w:r>
        <w:t xml:space="preserve"> zur Nutzung eines Autos statt öffentlicher Verkehrsmittel motiviert werden. Gleichzeitig werden teurere, größere und damit auch potenziell umweltschädlichere Fahrzeuge angeschafft. Einer Studie von </w:t>
      </w:r>
      <w:proofErr w:type="spellStart"/>
      <w:r>
        <w:t>Copenhagen</w:t>
      </w:r>
      <w:proofErr w:type="spellEnd"/>
      <w:r>
        <w:t xml:space="preserve"> Economics (2010) zufolge werden in </w:t>
      </w:r>
      <w:proofErr w:type="spellStart"/>
      <w:r>
        <w:t>Öster</w:t>
      </w:r>
      <w:proofErr w:type="spellEnd"/>
      <w:r>
        <w:t>-</w:t>
      </w:r>
    </w:p>
    <w:p w:rsidR="00DF06BC" w:rsidRDefault="00DF06BC" w:rsidP="00DF06BC">
      <w:pPr>
        <w:pStyle w:val="ZGBFlietext"/>
      </w:pPr>
      <w:r>
        <w:t xml:space="preserve">reich Dienstwagen auch der Oberklasse und der Klein- und Kompaktklasse mit bis zu 30% gefördert. Dadurch entsteht auch ein klarer Wettbewerbsnachteil für öffentliche Verkehrsmittel, weil dies einen steuerbegünstigten Gehaltsbestandteil darstellt. Abgesehen von den Folgen für die Umwelt ersparen sich </w:t>
      </w:r>
      <w:r>
        <w:lastRenderedPageBreak/>
        <w:t>Unternehmen Kosten im Bereich der Löhne und der damit verbundenen Steuern und Sozialabgaben. In Österreich beläuft sich diese Ersparnis auf rund 3.150 Euro pro Firmenwagen. Laut einer EU-Studie beträgt der Gesamtausfall rund 0,6% des BIP in Österreich – das sind satte 1,6 Mrd.  Euro jährlich. Die derzeitige Regelung ist daher nicht nur in Bezug auf die Wahl des Verkehrsmittels wettbewerbsverzerrend, sondern fördert auch eine besonders intensive PKW-Nutzung und vor allem besonders teure – und Großteils energieintensive – Fahrzeuge. Um das zu ändern, ist die Deckelung des steuerlichen Wertes der Privatnutzung mit maximal 720 Euro mittelfristig gänzlich aufzuheben, um den Anreiz für möglichst große Fahrzeuge zu vermeiden. Darüber hinaus sollte bei Überschreiten der 6.000 jährlichen Privatkilometer nicht sofort der volle Sachbezug, bei dem das Ausmaß der Nutzung keine Bedeutung mehr hat, verrechnet werden. Eine weitere Begrenzung hingegen (z.  B. bei 15.000 Privatkilometern jährlich) würde die Anreize für die Intensivnutzung des PKW reduzieren. Mittel- und langfristig ist jedoch zusätzlich der Kalkulationssatz für die Berechnung des steuerlichen Wertes („Sachbezugswert“) von derzeit 1,5% auf 2,4% des Anschaffungspreises des Autos zu erhöhen. Da Firmenfahrzeuge jedoch in der Regel ein Lohnbestandteil sind, müssen hierfür lohnpolitische Begleitmaßnahmen gesetzt werden. Damit könnte diese umweltschädliche Subvention abgebaut werden. Die steuerliche Absetzbarkeit von Firmenwagen als Betriebsausgabe soll an niedrigere CO2-Werte gekoppelt werden. Ferner sind nur solche Fahrzeuge als Dienstauto anzuerkennen, die überwiegend dienstlich verwendet werden. Der Steuerausfall würde sich um mindestens 300 Mio.  Euro reduzieren.</w:t>
      </w:r>
    </w:p>
    <w:p w:rsidR="00DF06BC" w:rsidRDefault="00DF06BC" w:rsidP="00DF06BC">
      <w:pPr>
        <w:pStyle w:val="ZGBFlietext"/>
      </w:pPr>
      <w:r>
        <w:t xml:space="preserve">Die Vorsteuerabzugsberechtigung für PKW wird ersatzlos gestrichen. Die berufliche Nutzung kann mit dem Kilometergeld laufend steuerlich geltend gemacht werden. Vorsteuerabzugsberechtigung besteht nur für echte LKW, nicht für „Kleinbusse“ </w:t>
      </w:r>
    </w:p>
    <w:p w:rsidR="00564093" w:rsidRDefault="00DF06BC" w:rsidP="00DF06BC">
      <w:pPr>
        <w:pStyle w:val="ZGBFlietext"/>
      </w:pPr>
      <w:r>
        <w:t>(z.  B. siebensitzige Autos).</w:t>
      </w:r>
    </w:p>
    <w:p w:rsidR="00DF06BC" w:rsidRDefault="00DF06BC" w:rsidP="00DF06BC">
      <w:pPr>
        <w:pStyle w:val="ZGBFlietext"/>
      </w:pPr>
    </w:p>
    <w:p w:rsidR="00564093" w:rsidRDefault="00564093" w:rsidP="00564093">
      <w:pPr>
        <w:pStyle w:val="ZGBManahme"/>
      </w:pPr>
      <w:r w:rsidRPr="00564093">
        <w:t>Reform der motorbezogenen Versicherungssteuer (Kfz-Steuer)</w:t>
      </w:r>
    </w:p>
    <w:p w:rsidR="00564093" w:rsidRDefault="00DF06BC" w:rsidP="00564093">
      <w:pPr>
        <w:pStyle w:val="ZGBFlietext"/>
      </w:pPr>
      <w:r w:rsidRPr="00DF06BC">
        <w:t xml:space="preserve">Die Einnahmen aus dieser Steuer, die PKWs betrifft, betrugen 2013 1,78 Mrd.  Euro. Diese Steuer ist jährlich zu entrichten. Trotz der Reform 2014 bleiben unsere Reformvorschläge weiterhin aufrecht, insbesondere unsere Forderung nach dem ersatzlosen Streichen einer Reihe von  Steuerbefreiungen. Derzeit sind u. a. die Land- und Forstwirtschaft, Taxiunternehmen etc. von dieser Steuer befreit. Allein in der Landwirtschaft macht diese Steuerbefreiung 110 Mio.  Euro jährlich aus. Lediglich besondere Gründe – z. B. Fahrzeuge zum Ausgleich von Behinderung, Elektrofahrzeuge etc. sollen in Zukunft steuerbefreit sein. Die Anhebung dieser Steuer für LKW (hier heißt diese Steuer Kraftfahrzeugsteuer) auf die ursprüngliche Höhe brächte weitere 30 Mio. Euro. Zusätzlich zu diesen Reformen schlagen wir vor, die Berechnungsbasis der Kfz-Steuer umzustellen. Derzeit orientiert sich diese an der PS-Zahl. Die Berechnungsbasis soll auf den CO2-Ausstoß umgestellt werden – d. h. die Steuer ist umso höher, je höher der CO2-Ausstoß ist. Beim Kauf eines neuen Autos sollen die </w:t>
      </w:r>
      <w:proofErr w:type="spellStart"/>
      <w:r w:rsidRPr="00DF06BC">
        <w:t>KonsumentInnen</w:t>
      </w:r>
      <w:proofErr w:type="spellEnd"/>
      <w:r w:rsidRPr="00DF06BC">
        <w:t xml:space="preserve"> vor dem Kaufabschluss verpflichtend über die Höhe der motorbezogenen Versicherungssteuer informiert werden, mit einem ähnlichen Modell wie z. B. bei Kühlschränken.</w:t>
      </w:r>
    </w:p>
    <w:p w:rsidR="00DF06BC" w:rsidRDefault="00DF06BC" w:rsidP="00564093">
      <w:pPr>
        <w:pStyle w:val="ZGBFlietext"/>
      </w:pPr>
    </w:p>
    <w:p w:rsidR="00564093" w:rsidRDefault="00564093" w:rsidP="00564093">
      <w:pPr>
        <w:pStyle w:val="ZGBManahme"/>
      </w:pPr>
      <w:r w:rsidRPr="00564093">
        <w:t>Förderentgelte für bundeseigene fossile Rohstoffe (Erdöl und Erdgas)</w:t>
      </w:r>
    </w:p>
    <w:p w:rsidR="00DF06BC" w:rsidRDefault="00DF06BC" w:rsidP="00DF06BC">
      <w:pPr>
        <w:pStyle w:val="ZGBFlietext"/>
      </w:pPr>
      <w:r>
        <w:t xml:space="preserve">Die Republik erhält als Eigentümer der bundeseigenen Rohstoffe Förderentgelte. Zuletzt wurde die Förderentgeltregelung einer Neuordnung unterzogen (§ 69 </w:t>
      </w:r>
      <w:proofErr w:type="spellStart"/>
      <w:r>
        <w:t>MinRoG</w:t>
      </w:r>
      <w:proofErr w:type="spellEnd"/>
      <w:r>
        <w:t xml:space="preserve"> - Mineralrohstoffgesetz). Die Neuregelung sieht einen linearen Anstieg des Förderzinsprozentsatzes bis 460 Euro Importpreis pro Tonne Rohöl auf 15% (19-22% bei Erdgas) vor. Dieser Förderzins wird auf die Differenz zwischen dem Preis am Förderort und dem Weltmarktpreis berechnet. Der neue Deckel des Förderzinsprozentsatzes nach der Reform 2014 beträgt nunmehr 20% ab 670 Euro pro Tonne Rohöl. Steigt der Rohölpreise darüber entgehen dem Staat weitere Einnahmemöglichkeiten. Der Wert einer Tonne Rohöl betrug z. B. im Mai 2014 rund 590 Euro pro Tonne. Von diesem Deckel profitieren weiterhin die </w:t>
      </w:r>
      <w:proofErr w:type="gramStart"/>
      <w:r>
        <w:t>Erdöl</w:t>
      </w:r>
      <w:proofErr w:type="gramEnd"/>
      <w:r>
        <w:t xml:space="preserve"> fördernden </w:t>
      </w:r>
    </w:p>
    <w:p w:rsidR="00564093" w:rsidRDefault="00DF06BC" w:rsidP="00DF06BC">
      <w:pPr>
        <w:pStyle w:val="ZGBFlietext"/>
      </w:pPr>
      <w:r>
        <w:t xml:space="preserve">Unternehmen und deren </w:t>
      </w:r>
      <w:proofErr w:type="spellStart"/>
      <w:r>
        <w:t>AktionärInnen</w:t>
      </w:r>
      <w:proofErr w:type="spellEnd"/>
      <w:r>
        <w:t>. Die gesetzlich vorgesehene Angemessenheit der Eigentümerrendite wird damit weiter verfehlt. Der Deckel beim Förderzinsprozentsatz ist ersatzlos aufzuheben. Der Zinssatz selbst ist in allen Stufen bei Öl und Gas weiter auf 33% anzuheben, um die durch externe Effekte bewirkten Wertsteigerungen fairer zwischen den fördernden Unternehmen und dem Bund als Eigentümer der Rohstoffe zu teilen. Die Aufhebung dieser einseitigen, zulasten des Bundes gehenden Aufteilung der Gewinne aus der Förderung bundeseigener fossiler Rohstoffe würde etwa 70 Mio. Euro an Mehreinnahmen ermöglichen.</w:t>
      </w:r>
    </w:p>
    <w:p w:rsidR="00DF06BC" w:rsidRDefault="00DF06BC" w:rsidP="00DF06BC">
      <w:pPr>
        <w:pStyle w:val="ZGBFlietext"/>
      </w:pPr>
    </w:p>
    <w:p w:rsidR="00DF06BC" w:rsidRDefault="00DF06BC" w:rsidP="00DF06BC">
      <w:pPr>
        <w:pStyle w:val="ZGBManahme"/>
      </w:pPr>
      <w:r>
        <w:t>Steuerbefreiung von Kohleverstromung abschaffen</w:t>
      </w:r>
    </w:p>
    <w:p w:rsidR="00DF06BC" w:rsidRDefault="00DF06BC" w:rsidP="00DF06BC">
      <w:r w:rsidRPr="00DF06BC">
        <w:lastRenderedPageBreak/>
        <w:t xml:space="preserve">Die Verstromung von Kohle ist in Österreich nach wie vor steuerlich begünstigt. Im österreichischen Kohleabgabegesetz (§5 Abs.1) ist vorgesehen, dass jede Tonne Kohle mit 50 Euro besteuert wird. Ausnahmen (§3) von der Steuer gibt es jedoch für Kohle, die für die Herstellung von Koks verwendet wird (Abs.1), für Kohle, die für die Herstellung von Elektrizität verwendet wird (Abs.2) und für Kohle, wenn sie nicht zum Verheizen oder zur Herstellung einer Ware verwendet wird (Abs.3). Würde die Ausnahme für die Kohlestromerzeugung aufgehoben und eine langfristig ansteigende Abgabe auf Kohleverstromung eingeführt, wäre dies ein Weg um die Kohleverstromung geplant und koordiniert aus dem Markt zu nehmen. Bezogen auf Kohlekraftwerke, die noch kein Abschaltdatum haben, würde diese Abgabe bedeuten, dass in einem ersten Schritt eine Steuerbegünstigung von mehr als 64 Mio. Euro abgebaut werden könnte. Pro </w:t>
      </w:r>
      <w:proofErr w:type="gramStart"/>
      <w:r w:rsidRPr="00DF06BC">
        <w:t>erzeugter</w:t>
      </w:r>
      <w:proofErr w:type="gramEnd"/>
      <w:r w:rsidRPr="00DF06BC">
        <w:t xml:space="preserve"> Kilowattstunde würde damit – je nach Kraftwerksstandort - eine Begünstigung von 1,5 bis 1,7 Cent abgebaut werden.</w:t>
      </w:r>
    </w:p>
    <w:p w:rsidR="00564093" w:rsidRDefault="00564093" w:rsidP="00564093">
      <w:pPr>
        <w:pStyle w:val="ZGBManahme"/>
      </w:pPr>
      <w:r w:rsidRPr="00564093">
        <w:t>Einführung einer Düngemittelabgabe</w:t>
      </w:r>
    </w:p>
    <w:p w:rsidR="00564093" w:rsidRDefault="00DF06BC" w:rsidP="00564093">
      <w:pPr>
        <w:pStyle w:val="ZGBFlietext"/>
      </w:pPr>
      <w:r w:rsidRPr="00DF06BC">
        <w:t>Laut dem Lebensministerium wurden 2012 insgesamt 169.861 Tonnen Dünger abgesetzt. Der Durchschnittsverbrauch liegt bei 185.000 Tonnen. Es ist davon auszugehen, dass der Düngerabsatz weiterhin steigt. Aus einer ökologischen Perspektive geht es darum, den Einsatz von Düngemitteln zu reduzieren und damit Stickstoffüberschüsse abzubauen bzw. zu vermeiden. Um das zu erreichen soll in Zukunft auf Düngemittel eine entsprechende Düngemittelabgabe eingehoben werden. Diese Abgabe müsste auf der Basis des tatsächlichen Verbrauchs berechnet werden, da ein Aufschlag auf in Österreich verkaufte Düngemittel einfach durch den Kauf im Ausland umgangen werden könnte. Insgesamt wäre es wünschenswert, eine derartige Abgabe EU-weit einzuführen. Gegenwärtig gibt es bereits eine Düngemittelabgabe in Dänemark und Schweden. Österreich hatte bis 1994 eine solche Abgabe. Sie könnte rund 50 Mio.  Euro im Jahr einbringen; jährlich könnten zwischen 25.000 und 32.000 Tonnen Düngemittel eingespart werden.</w:t>
      </w:r>
    </w:p>
    <w:p w:rsidR="00564093" w:rsidRDefault="00564093" w:rsidP="00564093">
      <w:pPr>
        <w:pStyle w:val="ZGBFlietext"/>
      </w:pPr>
    </w:p>
    <w:p w:rsidR="00C0696A" w:rsidRDefault="00C0696A" w:rsidP="00677ECF">
      <w:pPr>
        <w:pStyle w:val="ZGBFlietext"/>
        <w:rPr>
          <w:b/>
          <w:bCs/>
        </w:rPr>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C22537" w:rsidRDefault="00C22537" w:rsidP="00DF06BC">
      <w:pPr>
        <w:pStyle w:val="ZGBAbschnitt"/>
      </w:pPr>
    </w:p>
    <w:p w:rsidR="00FE2B48" w:rsidRDefault="00FE2B48" w:rsidP="00DF06BC">
      <w:pPr>
        <w:pStyle w:val="ZGBAbschnitt"/>
      </w:pPr>
    </w:p>
    <w:p w:rsidR="00FE2B48" w:rsidRDefault="00FE2B48" w:rsidP="00DF06BC">
      <w:pPr>
        <w:pStyle w:val="ZGBAbschnitt"/>
      </w:pPr>
    </w:p>
    <w:p w:rsidR="00FE2B48" w:rsidRDefault="00FE2B48" w:rsidP="00DF06BC">
      <w:pPr>
        <w:pStyle w:val="ZGBAbschnitt"/>
      </w:pPr>
      <w:bookmarkStart w:id="27" w:name="_GoBack"/>
      <w:bookmarkEnd w:id="27"/>
    </w:p>
    <w:p w:rsidR="00DF06BC" w:rsidRDefault="00DF06BC" w:rsidP="00C22537">
      <w:pPr>
        <w:pStyle w:val="berschrift1"/>
      </w:pPr>
      <w:bookmarkStart w:id="28" w:name="_Toc406072770"/>
      <w:r w:rsidRPr="00DF06BC">
        <w:lastRenderedPageBreak/>
        <w:t>Abkürzungsverzeichnis</w:t>
      </w:r>
      <w:bookmarkEnd w:id="28"/>
    </w:p>
    <w:p w:rsidR="00DF06BC" w:rsidRDefault="00DF06BC" w:rsidP="00677ECF">
      <w:pPr>
        <w:pStyle w:val="ZGBFlietext"/>
        <w:rPr>
          <w:b/>
          <w:bCs/>
        </w:rPr>
      </w:pPr>
    </w:p>
    <w:p w:rsidR="00DF06BC" w:rsidRPr="00DF06BC" w:rsidRDefault="00DF06BC" w:rsidP="00DF06BC">
      <w:pPr>
        <w:pStyle w:val="ZGBFlietext"/>
        <w:rPr>
          <w:b/>
          <w:bCs/>
        </w:rPr>
      </w:pPr>
      <w:r w:rsidRPr="00DF06BC">
        <w:rPr>
          <w:b/>
          <w:bCs/>
        </w:rPr>
        <w:t>ADA...............................................................</w:t>
      </w:r>
      <w:r>
        <w:rPr>
          <w:b/>
          <w:bCs/>
        </w:rPr>
        <w:t>.....................</w:t>
      </w:r>
      <w:r w:rsidRPr="00DF06BC">
        <w:rPr>
          <w:b/>
          <w:bCs/>
        </w:rPr>
        <w:t>..........................Austrian Development Agency</w:t>
      </w:r>
    </w:p>
    <w:p w:rsidR="00DF06BC" w:rsidRPr="00DF06BC" w:rsidRDefault="00DF06BC" w:rsidP="00DF06BC">
      <w:pPr>
        <w:pStyle w:val="ZGBFlietext"/>
        <w:rPr>
          <w:b/>
          <w:bCs/>
        </w:rPr>
      </w:pPr>
      <w:r w:rsidRPr="00DF06BC">
        <w:rPr>
          <w:b/>
          <w:bCs/>
        </w:rPr>
        <w:t>ASchG..............................................................</w:t>
      </w:r>
      <w:r>
        <w:rPr>
          <w:b/>
          <w:bCs/>
        </w:rPr>
        <w:t>............</w:t>
      </w:r>
      <w:r w:rsidRPr="00DF06BC">
        <w:rPr>
          <w:b/>
          <w:bCs/>
        </w:rPr>
        <w:t>...........................................Arbeitsschutzgesetz</w:t>
      </w:r>
    </w:p>
    <w:p w:rsidR="00DF06BC" w:rsidRPr="00DF06BC" w:rsidRDefault="00DF06BC" w:rsidP="00DF06BC">
      <w:pPr>
        <w:pStyle w:val="ZGBFlietext"/>
        <w:rPr>
          <w:b/>
          <w:bCs/>
        </w:rPr>
      </w:pPr>
      <w:r w:rsidRPr="00DF06BC">
        <w:rPr>
          <w:b/>
          <w:bCs/>
        </w:rPr>
        <w:t>AVAB............................................................</w:t>
      </w:r>
      <w:r>
        <w:rPr>
          <w:b/>
          <w:bCs/>
        </w:rPr>
        <w:t>..............</w:t>
      </w:r>
      <w:r w:rsidRPr="00DF06BC">
        <w:rPr>
          <w:b/>
          <w:bCs/>
        </w:rPr>
        <w:t>................................Alleinverdienerabsetzbetrag</w:t>
      </w:r>
    </w:p>
    <w:p w:rsidR="00DF06BC" w:rsidRPr="00DF06BC" w:rsidRDefault="00DF06BC" w:rsidP="00DF06BC">
      <w:pPr>
        <w:pStyle w:val="ZGBFlietext"/>
        <w:rPr>
          <w:b/>
          <w:bCs/>
        </w:rPr>
      </w:pPr>
      <w:r w:rsidRPr="00DF06BC">
        <w:rPr>
          <w:b/>
          <w:bCs/>
        </w:rPr>
        <w:t>AZG.................................................................</w:t>
      </w:r>
      <w:r>
        <w:rPr>
          <w:b/>
          <w:bCs/>
        </w:rPr>
        <w:t>.........</w:t>
      </w:r>
      <w:r w:rsidRPr="00DF06BC">
        <w:rPr>
          <w:b/>
          <w:bCs/>
        </w:rPr>
        <w:t>.................................................Arbeitszeitgesetz</w:t>
      </w:r>
    </w:p>
    <w:p w:rsidR="00DF06BC" w:rsidRPr="00DF06BC" w:rsidRDefault="00DF06BC" w:rsidP="00DF06BC">
      <w:pPr>
        <w:pStyle w:val="ZGBFlietext"/>
        <w:rPr>
          <w:b/>
          <w:bCs/>
        </w:rPr>
      </w:pPr>
      <w:r w:rsidRPr="00DF06BC">
        <w:rPr>
          <w:b/>
          <w:bCs/>
        </w:rPr>
        <w:t>BEIGEWUM</w:t>
      </w:r>
      <w:r>
        <w:rPr>
          <w:b/>
          <w:bCs/>
        </w:rPr>
        <w:t>………………………………..</w:t>
      </w:r>
      <w:r w:rsidRPr="00DF06BC">
        <w:rPr>
          <w:b/>
          <w:bCs/>
        </w:rPr>
        <w:t>...Beirat für gesellschafts-, wirtschafts- und umweltpolitische Alternativen</w:t>
      </w:r>
    </w:p>
    <w:p w:rsidR="00DF06BC" w:rsidRPr="00DF06BC" w:rsidRDefault="00DF06BC" w:rsidP="00DF06BC">
      <w:pPr>
        <w:pStyle w:val="ZGBFlietext"/>
        <w:rPr>
          <w:b/>
          <w:bCs/>
        </w:rPr>
      </w:pPr>
      <w:r w:rsidRPr="00DF06BC">
        <w:rPr>
          <w:b/>
          <w:bCs/>
        </w:rPr>
        <w:t>BIP......................................</w:t>
      </w:r>
      <w:r>
        <w:rPr>
          <w:b/>
          <w:bCs/>
        </w:rPr>
        <w:t>..........</w:t>
      </w:r>
      <w:r w:rsidRPr="00DF06BC">
        <w:rPr>
          <w:b/>
          <w:bCs/>
        </w:rPr>
        <w:t>...........................</w:t>
      </w:r>
      <w:r>
        <w:rPr>
          <w:b/>
          <w:bCs/>
        </w:rPr>
        <w:t>.</w:t>
      </w:r>
      <w:r w:rsidRPr="00DF06BC">
        <w:rPr>
          <w:b/>
          <w:bCs/>
        </w:rPr>
        <w:t>...........................................Bruttoinlandsprodukt</w:t>
      </w:r>
    </w:p>
    <w:p w:rsidR="00DF06BC" w:rsidRPr="00DF06BC" w:rsidRDefault="00DF06BC" w:rsidP="00DF06BC">
      <w:pPr>
        <w:pStyle w:val="ZGBFlietext"/>
        <w:rPr>
          <w:b/>
          <w:bCs/>
        </w:rPr>
      </w:pPr>
      <w:r w:rsidRPr="00DF06BC">
        <w:rPr>
          <w:b/>
          <w:bCs/>
        </w:rPr>
        <w:t>BNE.................................................................</w:t>
      </w:r>
      <w:r>
        <w:rPr>
          <w:b/>
          <w:bCs/>
        </w:rPr>
        <w:t>.............</w:t>
      </w:r>
      <w:r w:rsidRPr="00DF06BC">
        <w:rPr>
          <w:b/>
          <w:bCs/>
        </w:rPr>
        <w:t>...........................Bruttonationaleinkommen</w:t>
      </w:r>
    </w:p>
    <w:p w:rsidR="00DF06BC" w:rsidRPr="00DF06BC" w:rsidRDefault="00DF06BC" w:rsidP="00DF06BC">
      <w:pPr>
        <w:pStyle w:val="ZGBFlietext"/>
        <w:rPr>
          <w:b/>
          <w:bCs/>
        </w:rPr>
      </w:pPr>
      <w:r w:rsidRPr="00DF06BC">
        <w:rPr>
          <w:b/>
          <w:bCs/>
        </w:rPr>
        <w:t>BKA.....................................................</w:t>
      </w:r>
      <w:r>
        <w:rPr>
          <w:b/>
          <w:bCs/>
        </w:rPr>
        <w:t>.............</w:t>
      </w:r>
      <w:r w:rsidRPr="00DF06BC">
        <w:rPr>
          <w:b/>
          <w:bCs/>
        </w:rPr>
        <w:t>...................................................Bundeskanzleramt</w:t>
      </w:r>
    </w:p>
    <w:p w:rsidR="00DF06BC" w:rsidRPr="00DF06BC" w:rsidRDefault="00DF06BC" w:rsidP="00DF06BC">
      <w:pPr>
        <w:pStyle w:val="ZGBFlietext"/>
        <w:rPr>
          <w:b/>
          <w:bCs/>
        </w:rPr>
      </w:pPr>
      <w:r w:rsidRPr="00DF06BC">
        <w:rPr>
          <w:b/>
          <w:bCs/>
        </w:rPr>
        <w:t>BMASK.................</w:t>
      </w:r>
      <w:r>
        <w:rPr>
          <w:b/>
          <w:bCs/>
        </w:rPr>
        <w:t>.........................</w:t>
      </w:r>
      <w:r w:rsidRPr="00DF06BC">
        <w:rPr>
          <w:b/>
          <w:bCs/>
        </w:rPr>
        <w:t>.......Bundesministerium für Arbeit, Soziales und Konsumentenschutz</w:t>
      </w:r>
    </w:p>
    <w:p w:rsidR="00DF06BC" w:rsidRPr="00DF06BC" w:rsidRDefault="00DF06BC" w:rsidP="00DF06BC">
      <w:pPr>
        <w:pStyle w:val="ZGBFlietext"/>
        <w:rPr>
          <w:b/>
          <w:bCs/>
        </w:rPr>
      </w:pPr>
      <w:r w:rsidRPr="00DF06BC">
        <w:rPr>
          <w:b/>
          <w:bCs/>
        </w:rPr>
        <w:t>BMVIT....................</w:t>
      </w:r>
      <w:r>
        <w:rPr>
          <w:b/>
          <w:bCs/>
        </w:rPr>
        <w:t>........................</w:t>
      </w:r>
      <w:r w:rsidRPr="00DF06BC">
        <w:rPr>
          <w:b/>
          <w:bCs/>
        </w:rPr>
        <w:t xml:space="preserve">..........Bundesministerium für Verkehr, </w:t>
      </w:r>
      <w:proofErr w:type="spellStart"/>
      <w:r w:rsidRPr="00DF06BC">
        <w:rPr>
          <w:b/>
          <w:bCs/>
        </w:rPr>
        <w:t>InNoVation</w:t>
      </w:r>
      <w:proofErr w:type="spellEnd"/>
      <w:r w:rsidRPr="00DF06BC">
        <w:rPr>
          <w:b/>
          <w:bCs/>
        </w:rPr>
        <w:t xml:space="preserve"> und Technologie</w:t>
      </w:r>
    </w:p>
    <w:p w:rsidR="00DF06BC" w:rsidRPr="00DF06BC" w:rsidRDefault="00DF06BC" w:rsidP="00DF06BC">
      <w:pPr>
        <w:pStyle w:val="ZGBFlietext"/>
        <w:rPr>
          <w:b/>
          <w:bCs/>
          <w:lang w:val="en-GB"/>
        </w:rPr>
      </w:pPr>
      <w:r w:rsidRPr="00DF06BC">
        <w:rPr>
          <w:b/>
          <w:bCs/>
          <w:lang w:val="en-GB"/>
        </w:rPr>
        <w:t>ECOFIN-Rat....................</w:t>
      </w:r>
      <w:r>
        <w:rPr>
          <w:b/>
          <w:bCs/>
          <w:lang w:val="en-GB"/>
        </w:rPr>
        <w:t>.....................</w:t>
      </w:r>
      <w:r w:rsidRPr="00DF06BC">
        <w:rPr>
          <w:b/>
          <w:bCs/>
          <w:lang w:val="en-GB"/>
        </w:rPr>
        <w:t>.............................................Economic and Financial Committee</w:t>
      </w:r>
    </w:p>
    <w:p w:rsidR="00DF06BC" w:rsidRPr="00DF06BC" w:rsidRDefault="00DF06BC" w:rsidP="00DF06BC">
      <w:pPr>
        <w:pStyle w:val="ZGBFlietext"/>
        <w:rPr>
          <w:b/>
          <w:bCs/>
        </w:rPr>
      </w:pPr>
      <w:r w:rsidRPr="00DF06BC">
        <w:rPr>
          <w:b/>
          <w:bCs/>
        </w:rPr>
        <w:t>EU.........................................</w:t>
      </w:r>
      <w:r>
        <w:rPr>
          <w:b/>
          <w:bCs/>
        </w:rPr>
        <w:t>.....</w:t>
      </w:r>
      <w:r w:rsidRPr="00DF06BC">
        <w:rPr>
          <w:b/>
          <w:bCs/>
        </w:rPr>
        <w:t>........................................................................Europäische Union</w:t>
      </w:r>
    </w:p>
    <w:p w:rsidR="00DF06BC" w:rsidRPr="00DF06BC" w:rsidRDefault="00DF06BC" w:rsidP="00DF06BC">
      <w:pPr>
        <w:pStyle w:val="ZGBFlietext"/>
        <w:rPr>
          <w:b/>
          <w:bCs/>
        </w:rPr>
      </w:pPr>
      <w:r w:rsidRPr="00DF06BC">
        <w:rPr>
          <w:b/>
          <w:bCs/>
        </w:rPr>
        <w:t>EZA.............................................</w:t>
      </w:r>
      <w:r>
        <w:rPr>
          <w:b/>
          <w:bCs/>
        </w:rPr>
        <w:t>............</w:t>
      </w:r>
      <w:r w:rsidRPr="00DF06BC">
        <w:rPr>
          <w:b/>
          <w:bCs/>
        </w:rPr>
        <w:t>..............................................Entwicklungszusammenarbeit</w:t>
      </w:r>
    </w:p>
    <w:p w:rsidR="00DF06BC" w:rsidRPr="00DF06BC" w:rsidRDefault="00DF06BC" w:rsidP="00DF06BC">
      <w:pPr>
        <w:pStyle w:val="ZGBFlietext"/>
        <w:rPr>
          <w:b/>
          <w:bCs/>
        </w:rPr>
      </w:pPr>
      <w:r w:rsidRPr="00DF06BC">
        <w:rPr>
          <w:b/>
          <w:bCs/>
        </w:rPr>
        <w:t>FLAF.............................................</w:t>
      </w:r>
      <w:r>
        <w:rPr>
          <w:b/>
          <w:bCs/>
        </w:rPr>
        <w:t>..........</w:t>
      </w:r>
      <w:r w:rsidRPr="00DF06BC">
        <w:rPr>
          <w:b/>
          <w:bCs/>
        </w:rPr>
        <w:t>............................................Familienlastenausgleichsfonds</w:t>
      </w:r>
    </w:p>
    <w:p w:rsidR="00DF06BC" w:rsidRPr="00DF06BC" w:rsidRDefault="00DF06BC" w:rsidP="00DF06BC">
      <w:pPr>
        <w:pStyle w:val="ZGBFlietext"/>
        <w:rPr>
          <w:b/>
          <w:bCs/>
        </w:rPr>
      </w:pPr>
      <w:r w:rsidRPr="00DF06BC">
        <w:rPr>
          <w:b/>
          <w:bCs/>
        </w:rPr>
        <w:t>FTS.................................................</w:t>
      </w:r>
      <w:r>
        <w:rPr>
          <w:b/>
          <w:bCs/>
        </w:rPr>
        <w:t>............</w:t>
      </w:r>
      <w:r w:rsidRPr="00DF06BC">
        <w:rPr>
          <w:b/>
          <w:bCs/>
        </w:rPr>
        <w:t>....................................................Finanztransaktionssteuer</w:t>
      </w:r>
    </w:p>
    <w:p w:rsidR="00DF06BC" w:rsidRPr="00DF06BC" w:rsidRDefault="00DF06BC" w:rsidP="00DF06BC">
      <w:pPr>
        <w:pStyle w:val="ZGBFlietext"/>
        <w:rPr>
          <w:b/>
          <w:bCs/>
        </w:rPr>
      </w:pPr>
      <w:r w:rsidRPr="00DF06BC">
        <w:rPr>
          <w:b/>
          <w:bCs/>
        </w:rPr>
        <w:t>GBP................................................</w:t>
      </w:r>
      <w:r>
        <w:rPr>
          <w:b/>
          <w:bCs/>
        </w:rPr>
        <w:t>.............</w:t>
      </w:r>
      <w:r w:rsidRPr="00DF06BC">
        <w:rPr>
          <w:b/>
          <w:bCs/>
        </w:rPr>
        <w:t>.............................gemeinnütziges Beschäftigungsprojekt</w:t>
      </w:r>
    </w:p>
    <w:p w:rsidR="00DF06BC" w:rsidRPr="00DF06BC" w:rsidRDefault="00DF06BC" w:rsidP="00DF06BC">
      <w:pPr>
        <w:pStyle w:val="ZGBFlietext"/>
        <w:rPr>
          <w:b/>
          <w:bCs/>
        </w:rPr>
      </w:pPr>
      <w:r w:rsidRPr="00DF06BC">
        <w:rPr>
          <w:b/>
          <w:bCs/>
        </w:rPr>
        <w:t>GWL-Satz.........................................</w:t>
      </w:r>
      <w:r>
        <w:rPr>
          <w:b/>
          <w:bCs/>
        </w:rPr>
        <w:t>...............</w:t>
      </w:r>
      <w:r w:rsidRPr="00DF06BC">
        <w:rPr>
          <w:b/>
          <w:bCs/>
        </w:rPr>
        <w:t>............................gemeinwirtschaftlicher Leistungssatz</w:t>
      </w:r>
    </w:p>
    <w:p w:rsidR="00DF06BC" w:rsidRPr="00DF06BC" w:rsidRDefault="00DF06BC" w:rsidP="00DF06BC">
      <w:pPr>
        <w:pStyle w:val="ZGBFlietext"/>
        <w:rPr>
          <w:b/>
          <w:bCs/>
          <w:lang w:val="en-GB"/>
        </w:rPr>
      </w:pPr>
      <w:r w:rsidRPr="00DF06BC">
        <w:rPr>
          <w:b/>
          <w:bCs/>
          <w:lang w:val="en-GB"/>
        </w:rPr>
        <w:t>HFCS.....................................................</w:t>
      </w:r>
      <w:r>
        <w:rPr>
          <w:b/>
          <w:bCs/>
          <w:lang w:val="en-GB"/>
        </w:rPr>
        <w:t>...................</w:t>
      </w:r>
      <w:r w:rsidRPr="00DF06BC">
        <w:rPr>
          <w:b/>
          <w:bCs/>
          <w:lang w:val="en-GB"/>
        </w:rPr>
        <w:t>....... Household Finance and Consumption Survey</w:t>
      </w:r>
    </w:p>
    <w:p w:rsidR="00DF06BC" w:rsidRPr="00DF06BC" w:rsidRDefault="00DF06BC" w:rsidP="00DF06BC">
      <w:pPr>
        <w:pStyle w:val="ZGBFlietext"/>
        <w:rPr>
          <w:b/>
          <w:bCs/>
        </w:rPr>
      </w:pPr>
      <w:r w:rsidRPr="00DF06BC">
        <w:rPr>
          <w:b/>
          <w:bCs/>
        </w:rPr>
        <w:t>IFES......................................................</w:t>
      </w:r>
      <w:r>
        <w:rPr>
          <w:b/>
          <w:bCs/>
        </w:rPr>
        <w:t>..............</w:t>
      </w:r>
      <w:r w:rsidRPr="00DF06BC">
        <w:rPr>
          <w:b/>
          <w:bCs/>
        </w:rPr>
        <w:t>.....................Institut für Empirische Sozialforschung</w:t>
      </w:r>
    </w:p>
    <w:p w:rsidR="00DF06BC" w:rsidRPr="00DF06BC" w:rsidRDefault="00DF06BC" w:rsidP="00DF06BC">
      <w:pPr>
        <w:pStyle w:val="ZGBFlietext"/>
        <w:rPr>
          <w:b/>
          <w:bCs/>
        </w:rPr>
      </w:pPr>
      <w:r w:rsidRPr="00DF06BC">
        <w:rPr>
          <w:b/>
          <w:bCs/>
        </w:rPr>
        <w:t>KDZ...................................</w:t>
      </w:r>
      <w:r>
        <w:rPr>
          <w:b/>
          <w:bCs/>
        </w:rPr>
        <w:t>..........................</w:t>
      </w:r>
      <w:r w:rsidRPr="00DF06BC">
        <w:rPr>
          <w:b/>
          <w:bCs/>
        </w:rPr>
        <w:t>...........Kommunalwissenschaftliches Dokumentationszentrum</w:t>
      </w:r>
    </w:p>
    <w:p w:rsidR="00DF06BC" w:rsidRPr="00DF06BC" w:rsidRDefault="00DF06BC" w:rsidP="00DF06BC">
      <w:pPr>
        <w:pStyle w:val="ZGBFlietext"/>
        <w:rPr>
          <w:b/>
          <w:bCs/>
        </w:rPr>
      </w:pPr>
      <w:r w:rsidRPr="00DF06BC">
        <w:rPr>
          <w:b/>
          <w:bCs/>
        </w:rPr>
        <w:t>KÖSt.....................................</w:t>
      </w:r>
      <w:r>
        <w:rPr>
          <w:b/>
          <w:bCs/>
        </w:rPr>
        <w:t>.........</w:t>
      </w:r>
      <w:r w:rsidRPr="00DF06BC">
        <w:rPr>
          <w:b/>
          <w:bCs/>
        </w:rPr>
        <w:t>.......................................................................Körperschaftssteuer</w:t>
      </w:r>
    </w:p>
    <w:p w:rsidR="00DF06BC" w:rsidRPr="00DF06BC" w:rsidRDefault="00DF06BC" w:rsidP="00DF06BC">
      <w:pPr>
        <w:pStyle w:val="ZGBFlietext"/>
        <w:rPr>
          <w:b/>
          <w:bCs/>
        </w:rPr>
      </w:pPr>
      <w:r w:rsidRPr="00DF06BC">
        <w:rPr>
          <w:b/>
          <w:bCs/>
        </w:rPr>
        <w:t>MRG..........................................</w:t>
      </w:r>
      <w:r>
        <w:rPr>
          <w:b/>
          <w:bCs/>
        </w:rPr>
        <w:t>......</w:t>
      </w:r>
      <w:r w:rsidRPr="00DF06BC">
        <w:rPr>
          <w:b/>
          <w:bCs/>
        </w:rPr>
        <w:t>.......................................................................Mietrechtsgesetz</w:t>
      </w:r>
    </w:p>
    <w:p w:rsidR="00DF06BC" w:rsidRPr="00C22537" w:rsidRDefault="00DF06BC" w:rsidP="00DF06BC">
      <w:pPr>
        <w:pStyle w:val="ZGBFlietext"/>
        <w:rPr>
          <w:b/>
          <w:bCs/>
          <w:lang w:val="de-AT"/>
        </w:rPr>
      </w:pPr>
      <w:r w:rsidRPr="00C22537">
        <w:rPr>
          <w:b/>
          <w:bCs/>
          <w:lang w:val="de-AT"/>
        </w:rPr>
        <w:t>MöSt......................................................................................................................Mineralölsteuer</w:t>
      </w:r>
    </w:p>
    <w:p w:rsidR="00DF06BC" w:rsidRPr="00DF06BC" w:rsidRDefault="00DF06BC" w:rsidP="00DF06BC">
      <w:pPr>
        <w:pStyle w:val="ZGBFlietext"/>
        <w:rPr>
          <w:b/>
          <w:bCs/>
          <w:lang w:val="en-GB"/>
        </w:rPr>
      </w:pPr>
      <w:r w:rsidRPr="00DF06BC">
        <w:rPr>
          <w:b/>
          <w:bCs/>
          <w:lang w:val="en-GB"/>
        </w:rPr>
        <w:t>NoVa...........................................</w:t>
      </w:r>
      <w:r>
        <w:rPr>
          <w:b/>
          <w:bCs/>
          <w:lang w:val="en-GB"/>
        </w:rPr>
        <w:t>............</w:t>
      </w:r>
      <w:r w:rsidRPr="00DF06BC">
        <w:rPr>
          <w:b/>
          <w:bCs/>
          <w:lang w:val="en-GB"/>
        </w:rPr>
        <w:t>.......................................................Normverbraucherabgabe</w:t>
      </w:r>
    </w:p>
    <w:p w:rsidR="00DF06BC" w:rsidRPr="00DF06BC" w:rsidRDefault="00DF06BC" w:rsidP="00DF06BC">
      <w:pPr>
        <w:pStyle w:val="ZGBFlietext"/>
        <w:rPr>
          <w:b/>
          <w:bCs/>
          <w:lang w:val="en-GB"/>
        </w:rPr>
      </w:pPr>
      <w:r w:rsidRPr="00DF06BC">
        <w:rPr>
          <w:b/>
          <w:bCs/>
          <w:lang w:val="en-GB"/>
        </w:rPr>
        <w:t>OECD..................................</w:t>
      </w:r>
      <w:r>
        <w:rPr>
          <w:b/>
          <w:bCs/>
          <w:lang w:val="en-GB"/>
        </w:rPr>
        <w:t>........................</w:t>
      </w:r>
      <w:r w:rsidRPr="00DF06BC">
        <w:rPr>
          <w:b/>
          <w:bCs/>
          <w:lang w:val="en-GB"/>
        </w:rPr>
        <w:t>..Organisation for Economic Co-operation and Development</w:t>
      </w:r>
    </w:p>
    <w:p w:rsidR="00DF06BC" w:rsidRPr="00DF06BC" w:rsidRDefault="00DF06BC" w:rsidP="00DF06BC">
      <w:pPr>
        <w:pStyle w:val="ZGBFlietext"/>
        <w:rPr>
          <w:b/>
          <w:bCs/>
          <w:lang w:val="en-GB"/>
        </w:rPr>
      </w:pPr>
      <w:r w:rsidRPr="00DF06BC">
        <w:rPr>
          <w:b/>
          <w:bCs/>
          <w:lang w:val="en-GB"/>
        </w:rPr>
        <w:t>OeNB..............................................</w:t>
      </w:r>
      <w:r>
        <w:rPr>
          <w:b/>
          <w:bCs/>
          <w:lang w:val="en-GB"/>
        </w:rPr>
        <w:t>..........</w:t>
      </w:r>
      <w:r w:rsidRPr="00DF06BC">
        <w:rPr>
          <w:b/>
          <w:bCs/>
          <w:lang w:val="en-GB"/>
        </w:rPr>
        <w:t xml:space="preserve">............................................Österreichische </w:t>
      </w:r>
      <w:proofErr w:type="spellStart"/>
      <w:r w:rsidRPr="00DF06BC">
        <w:rPr>
          <w:b/>
          <w:bCs/>
          <w:lang w:val="en-GB"/>
        </w:rPr>
        <w:t>Nationalbank</w:t>
      </w:r>
      <w:proofErr w:type="spellEnd"/>
    </w:p>
    <w:p w:rsidR="00DF06BC" w:rsidRPr="00DF06BC" w:rsidRDefault="00DF06BC" w:rsidP="00DF06BC">
      <w:pPr>
        <w:pStyle w:val="ZGBFlietext"/>
        <w:rPr>
          <w:b/>
          <w:bCs/>
          <w:lang w:val="en-GB"/>
        </w:rPr>
      </w:pPr>
      <w:r w:rsidRPr="00DF06BC">
        <w:rPr>
          <w:b/>
          <w:bCs/>
          <w:lang w:val="en-GB"/>
        </w:rPr>
        <w:t>SILC...............................................</w:t>
      </w:r>
      <w:r>
        <w:rPr>
          <w:b/>
          <w:bCs/>
          <w:lang w:val="en-GB"/>
        </w:rPr>
        <w:t>...................</w:t>
      </w:r>
      <w:r w:rsidRPr="00DF06BC">
        <w:rPr>
          <w:b/>
          <w:bCs/>
          <w:lang w:val="en-GB"/>
        </w:rPr>
        <w:t>......................Statistic on Income and Living Conditions</w:t>
      </w:r>
    </w:p>
    <w:p w:rsidR="00DF06BC" w:rsidRPr="00DF06BC" w:rsidRDefault="00DF06BC" w:rsidP="00DF06BC">
      <w:pPr>
        <w:pStyle w:val="ZGBFlietext"/>
        <w:rPr>
          <w:b/>
          <w:bCs/>
          <w:lang w:val="en-GB"/>
        </w:rPr>
      </w:pPr>
      <w:r w:rsidRPr="00DF06BC">
        <w:rPr>
          <w:b/>
          <w:bCs/>
          <w:lang w:val="en-GB"/>
        </w:rPr>
        <w:t>SÖB...............................................</w:t>
      </w:r>
      <w:r>
        <w:rPr>
          <w:b/>
          <w:bCs/>
          <w:lang w:val="en-GB"/>
        </w:rPr>
        <w:t>.........</w:t>
      </w:r>
      <w:r w:rsidRPr="00DF06BC">
        <w:rPr>
          <w:b/>
          <w:bCs/>
          <w:lang w:val="en-GB"/>
        </w:rPr>
        <w:t xml:space="preserve">................................................sozialökonomischer </w:t>
      </w:r>
      <w:proofErr w:type="spellStart"/>
      <w:r w:rsidRPr="00DF06BC">
        <w:rPr>
          <w:b/>
          <w:bCs/>
          <w:lang w:val="en-GB"/>
        </w:rPr>
        <w:t>Betrieb</w:t>
      </w:r>
      <w:proofErr w:type="spellEnd"/>
    </w:p>
    <w:p w:rsidR="00DF06BC" w:rsidRPr="00DF06BC" w:rsidRDefault="00DF06BC" w:rsidP="00DF06BC">
      <w:pPr>
        <w:pStyle w:val="ZGBFlietext"/>
        <w:rPr>
          <w:b/>
          <w:bCs/>
          <w:lang w:val="en-GB"/>
        </w:rPr>
      </w:pPr>
      <w:r w:rsidRPr="00DF06BC">
        <w:rPr>
          <w:b/>
          <w:bCs/>
          <w:lang w:val="en-GB"/>
        </w:rPr>
        <w:t>UNHCR.........................................</w:t>
      </w:r>
      <w:r>
        <w:rPr>
          <w:b/>
          <w:bCs/>
          <w:lang w:val="en-GB"/>
        </w:rPr>
        <w:t>.....................</w:t>
      </w:r>
      <w:r w:rsidRPr="00DF06BC">
        <w:rPr>
          <w:b/>
          <w:bCs/>
          <w:lang w:val="en-GB"/>
        </w:rPr>
        <w:t>.........United Nations High Commissioner for Refugees</w:t>
      </w:r>
    </w:p>
    <w:p w:rsidR="00DF06BC" w:rsidRPr="00DF06BC" w:rsidRDefault="00DF06BC" w:rsidP="00DF06BC">
      <w:pPr>
        <w:pStyle w:val="ZGBFlietext"/>
        <w:rPr>
          <w:b/>
          <w:bCs/>
          <w:lang w:val="en-GB"/>
        </w:rPr>
      </w:pPr>
      <w:r w:rsidRPr="00DF06BC">
        <w:rPr>
          <w:b/>
          <w:bCs/>
          <w:lang w:val="en-GB"/>
        </w:rPr>
        <w:t>UNO.............................................</w:t>
      </w:r>
      <w:r>
        <w:rPr>
          <w:b/>
          <w:bCs/>
          <w:lang w:val="en-GB"/>
        </w:rPr>
        <w:t>..........</w:t>
      </w:r>
      <w:r w:rsidRPr="00DF06BC">
        <w:rPr>
          <w:b/>
          <w:bCs/>
          <w:lang w:val="en-GB"/>
        </w:rPr>
        <w:t>...............................................United Nations Organisation</w:t>
      </w:r>
    </w:p>
    <w:p w:rsidR="00DF06BC" w:rsidRPr="00DF06BC" w:rsidRDefault="00DF06BC" w:rsidP="00DF06BC">
      <w:pPr>
        <w:pStyle w:val="ZGBFlietext"/>
        <w:rPr>
          <w:b/>
          <w:bCs/>
        </w:rPr>
      </w:pPr>
      <w:r w:rsidRPr="00DF06BC">
        <w:rPr>
          <w:b/>
          <w:bCs/>
        </w:rPr>
        <w:t>VOEST...........................................</w:t>
      </w:r>
      <w:r>
        <w:rPr>
          <w:b/>
          <w:bCs/>
        </w:rPr>
        <w:t>...................</w:t>
      </w:r>
      <w:r w:rsidRPr="00DF06BC">
        <w:rPr>
          <w:b/>
          <w:bCs/>
        </w:rPr>
        <w:t>..........Vereinigte Österreichische Eisen- und Stahlwerke</w:t>
      </w:r>
    </w:p>
    <w:p w:rsidR="00DF06BC" w:rsidRPr="00677ECF" w:rsidRDefault="00DF06BC" w:rsidP="00DF06BC">
      <w:pPr>
        <w:pStyle w:val="ZGBFlietext"/>
        <w:rPr>
          <w:b/>
          <w:bCs/>
        </w:rPr>
      </w:pPr>
      <w:r w:rsidRPr="00DF06BC">
        <w:rPr>
          <w:b/>
          <w:bCs/>
        </w:rPr>
        <w:t>WIFO...........................................</w:t>
      </w:r>
      <w:r>
        <w:rPr>
          <w:b/>
          <w:bCs/>
        </w:rPr>
        <w:t>...................</w:t>
      </w:r>
      <w:r w:rsidRPr="00DF06BC">
        <w:rPr>
          <w:b/>
          <w:bCs/>
        </w:rPr>
        <w:t>..........Österreichisches Institut für Wirtschaftsforschung</w:t>
      </w:r>
    </w:p>
    <w:sectPr w:rsidR="00DF06BC" w:rsidRPr="00677ECF" w:rsidSect="00AB1A87">
      <w:footerReference w:type="default" r:id="rId18"/>
      <w:pgSz w:w="11920" w:h="16800"/>
      <w:pgMar w:top="568" w:right="1005" w:bottom="284" w:left="108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ACC" w:rsidRDefault="00A52ACC" w:rsidP="00E8120E">
      <w:pPr>
        <w:spacing w:after="0" w:line="240" w:lineRule="auto"/>
      </w:pPr>
      <w:r>
        <w:separator/>
      </w:r>
    </w:p>
  </w:endnote>
  <w:endnote w:type="continuationSeparator" w:id="0">
    <w:p w:rsidR="00A52ACC" w:rsidRDefault="00A52ACC" w:rsidP="00E81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inionPro-Regular">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inionPro-BoldI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5734703"/>
      <w:docPartObj>
        <w:docPartGallery w:val="Page Numbers (Bottom of Page)"/>
        <w:docPartUnique/>
      </w:docPartObj>
    </w:sdtPr>
    <w:sdtEndPr/>
    <w:sdtContent>
      <w:p w:rsidR="00A52ACC" w:rsidRDefault="00A52ACC">
        <w:pPr>
          <w:pStyle w:val="Fuzeile"/>
          <w:jc w:val="center"/>
        </w:pPr>
        <w:r>
          <w:fldChar w:fldCharType="begin"/>
        </w:r>
        <w:r>
          <w:instrText>PAGE   \* MERGEFORMAT</w:instrText>
        </w:r>
        <w:r>
          <w:fldChar w:fldCharType="separate"/>
        </w:r>
        <w:r w:rsidR="00FE2B48" w:rsidRPr="00FE2B48">
          <w:rPr>
            <w:noProof/>
            <w:lang w:val="de-DE"/>
          </w:rPr>
          <w:t>1</w:t>
        </w:r>
        <w:r>
          <w:fldChar w:fldCharType="end"/>
        </w:r>
      </w:p>
    </w:sdtContent>
  </w:sdt>
  <w:p w:rsidR="00A52ACC" w:rsidRDefault="00A52AC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ACC" w:rsidRDefault="00A52ACC" w:rsidP="00E8120E">
      <w:pPr>
        <w:spacing w:after="0" w:line="240" w:lineRule="auto"/>
      </w:pPr>
      <w:r>
        <w:separator/>
      </w:r>
    </w:p>
  </w:footnote>
  <w:footnote w:type="continuationSeparator" w:id="0">
    <w:p w:rsidR="00A52ACC" w:rsidRDefault="00A52ACC" w:rsidP="00E8120E">
      <w:pPr>
        <w:spacing w:after="0" w:line="240" w:lineRule="auto"/>
      </w:pPr>
      <w:r>
        <w:continuationSeparator/>
      </w:r>
    </w:p>
  </w:footnote>
  <w:footnote w:id="1">
    <w:p w:rsidR="00A52ACC" w:rsidRPr="007B1F63" w:rsidRDefault="00A52ACC" w:rsidP="00BC78E2">
      <w:pPr>
        <w:pStyle w:val="Funote"/>
        <w:rPr>
          <w:rStyle w:val="Funotenzeichen"/>
          <w:vertAlign w:val="baseline"/>
        </w:rPr>
      </w:pPr>
      <w:r>
        <w:rPr>
          <w:rStyle w:val="Funotenzeichen"/>
        </w:rPr>
        <w:footnoteRef/>
      </w:r>
      <w:r w:rsidRPr="00BC78E2">
        <w:rPr>
          <w:lang w:val="en-GB"/>
        </w:rPr>
        <w:t xml:space="preserve"> </w:t>
      </w:r>
      <w:r w:rsidRPr="007B1F63">
        <w:rPr>
          <w:rStyle w:val="Funotenzeichen"/>
          <w:vertAlign w:val="baseline"/>
        </w:rPr>
        <w:t xml:space="preserve">Open </w:t>
      </w:r>
      <w:proofErr w:type="spellStart"/>
      <w:r w:rsidRPr="007B1F63">
        <w:rPr>
          <w:rStyle w:val="Funotenzeichen"/>
          <w:vertAlign w:val="baseline"/>
        </w:rPr>
        <w:t>Government</w:t>
      </w:r>
      <w:proofErr w:type="spellEnd"/>
      <w:r w:rsidRPr="007B1F63">
        <w:rPr>
          <w:rStyle w:val="Funotenzeichen"/>
          <w:vertAlign w:val="baseline"/>
        </w:rPr>
        <w:t xml:space="preserve"> </w:t>
      </w:r>
      <w:proofErr w:type="spellStart"/>
      <w:r w:rsidRPr="007B1F63">
        <w:rPr>
          <w:rStyle w:val="Funotenzeichen"/>
          <w:vertAlign w:val="baseline"/>
        </w:rPr>
        <w:t>Partnership</w:t>
      </w:r>
      <w:proofErr w:type="spellEnd"/>
      <w:r w:rsidRPr="007B1F63">
        <w:rPr>
          <w:rStyle w:val="Funotenzeichen"/>
          <w:vertAlign w:val="baseline"/>
        </w:rPr>
        <w:t xml:space="preserve"> ist eine Initiative, die 2011 von acht Regierungen lanciert wurde mit dem Ziel „Open </w:t>
      </w:r>
      <w:proofErr w:type="spellStart"/>
      <w:r w:rsidRPr="007B1F63">
        <w:rPr>
          <w:rStyle w:val="Funotenzeichen"/>
          <w:vertAlign w:val="baseline"/>
        </w:rPr>
        <w:t>Government</w:t>
      </w:r>
      <w:proofErr w:type="spellEnd"/>
      <w:r w:rsidRPr="007B1F63">
        <w:rPr>
          <w:rStyle w:val="Funotenzeichen"/>
          <w:vertAlign w:val="baseline"/>
        </w:rPr>
        <w:t xml:space="preserve">“ – also transparentes Regieren - zu fördern. Seit dem Beginn der Initiative sind 47 weitere Staaten beigetreten. Die Initiative wird von einer Steuerungsgruppe bestehend aus </w:t>
      </w:r>
      <w:proofErr w:type="spellStart"/>
      <w:r w:rsidRPr="007B1F63">
        <w:rPr>
          <w:rStyle w:val="Funotenzeichen"/>
          <w:vertAlign w:val="baseline"/>
        </w:rPr>
        <w:t>VertreterInnen</w:t>
      </w:r>
      <w:proofErr w:type="spellEnd"/>
      <w:r w:rsidRPr="007B1F63">
        <w:rPr>
          <w:rStyle w:val="Funotenzeichen"/>
          <w:vertAlign w:val="baseline"/>
        </w:rPr>
        <w:t xml:space="preserve"> von Regierungen und Zivilgesellschaft geleitet. Mehr Informationen unter: </w:t>
      </w:r>
    </w:p>
    <w:p w:rsidR="00A52ACC" w:rsidRDefault="00A52ACC" w:rsidP="00BC78E2">
      <w:pPr>
        <w:pStyle w:val="Funote"/>
      </w:pPr>
      <w:r w:rsidRPr="007B1F63">
        <w:rPr>
          <w:rStyle w:val="Funotenzeichen"/>
          <w:vertAlign w:val="baseline"/>
        </w:rPr>
        <w:t>www.opengovpartnership.org</w:t>
      </w:r>
    </w:p>
    <w:p w:rsidR="00A52ACC" w:rsidRPr="00BC78E2" w:rsidRDefault="00A52ACC">
      <w:pPr>
        <w:pStyle w:val="Funotentext"/>
        <w:rPr>
          <w:lang w:val="en-GB"/>
        </w:rPr>
      </w:pPr>
    </w:p>
  </w:footnote>
  <w:footnote w:id="2">
    <w:p w:rsidR="00A52ACC" w:rsidRPr="0052194E" w:rsidRDefault="00A52ACC" w:rsidP="0052194E">
      <w:pPr>
        <w:pStyle w:val="Funotentext"/>
        <w:rPr>
          <w:lang w:val="en-GB"/>
        </w:rPr>
      </w:pPr>
      <w:r>
        <w:rPr>
          <w:rStyle w:val="Funotenzeichen"/>
        </w:rPr>
        <w:footnoteRef/>
      </w:r>
      <w:r>
        <w:rPr>
          <w:lang w:val="en-GB"/>
        </w:rPr>
        <w:t xml:space="preserve"> </w:t>
      </w:r>
      <w:proofErr w:type="spellStart"/>
      <w:r w:rsidRPr="0052194E">
        <w:rPr>
          <w:lang w:val="en-GB"/>
        </w:rPr>
        <w:t>Gechert</w:t>
      </w:r>
      <w:proofErr w:type="spellEnd"/>
      <w:r w:rsidRPr="0052194E">
        <w:rPr>
          <w:lang w:val="en-GB"/>
        </w:rPr>
        <w:t xml:space="preserve"> (2013) What Fiscal Policy is Most Effective? A Meta Regression Analysis, IMK Working Paper.</w:t>
      </w:r>
    </w:p>
    <w:p w:rsidR="00A52ACC" w:rsidRPr="0052194E" w:rsidRDefault="00A52ACC">
      <w:pPr>
        <w:pStyle w:val="Funotentext"/>
        <w:rPr>
          <w:lang w:val="en-GB"/>
        </w:rPr>
      </w:pPr>
    </w:p>
  </w:footnote>
  <w:footnote w:id="3">
    <w:p w:rsidR="00A52ACC" w:rsidRDefault="00A52ACC">
      <w:pPr>
        <w:pStyle w:val="Funotentext"/>
      </w:pPr>
      <w:r>
        <w:rPr>
          <w:rStyle w:val="Funotenzeichen"/>
        </w:rPr>
        <w:footnoteRef/>
      </w:r>
      <w:r>
        <w:t xml:space="preserve"> </w:t>
      </w:r>
      <w:r w:rsidRPr="00E110A2">
        <w:t>Diese Zahl ergibt sich auf der Basis der Baubewilligungen für Neubauten, die derzeit jährlich rund 38.000 Wohnungen ausmachen, und neuen Wohnungen, die durch Um-, Auf- oder Zubauten entstehen. Anfang der 90er Jahre wurden letztere noch seitens der Statistik Austria erfasst und betrugen jährlich rund 8.000 Wohnungen. Laut Schätzungen von gemeinnützigen Bauträgern liegt diese Zahl heute etwas höher.</w:t>
      </w:r>
    </w:p>
  </w:footnote>
  <w:footnote w:id="4">
    <w:p w:rsidR="00A52ACC" w:rsidRDefault="00A52ACC">
      <w:pPr>
        <w:pStyle w:val="Funotentext"/>
      </w:pPr>
      <w:r>
        <w:rPr>
          <w:rStyle w:val="Funotenzeichen"/>
        </w:rPr>
        <w:footnoteRef/>
      </w:r>
      <w:r>
        <w:t xml:space="preserve"> </w:t>
      </w:r>
      <w:r w:rsidRPr="00E110A2">
        <w:t>Subsidiär Schutzberichtigte sind in Österreich Personen, deren Leben oder Gesundheit im Herkunftsland trotz fehlender Flüchtlingseigenschaft im Sinne der Genfer Flüchtlingskonvention in Gefahr ist.</w:t>
      </w:r>
    </w:p>
  </w:footnote>
  <w:footnote w:id="5">
    <w:p w:rsidR="00A52ACC" w:rsidRDefault="00A52ACC">
      <w:pPr>
        <w:pStyle w:val="Funotentext"/>
      </w:pPr>
      <w:r>
        <w:rPr>
          <w:rStyle w:val="Funotenzeichen"/>
        </w:rPr>
        <w:footnoteRef/>
      </w:r>
      <w:r>
        <w:t xml:space="preserve"> </w:t>
      </w:r>
      <w:r w:rsidRPr="00BC78E2">
        <w:t>244. Verordnung der Bundesministerin für Finanzen über die Darstellung der Angaben zur Wirkungsorientierung im Bundesvoranschlagsentwurf und in den Teilheften</w:t>
      </w:r>
    </w:p>
  </w:footnote>
  <w:footnote w:id="6">
    <w:p w:rsidR="0084442E" w:rsidRDefault="0084442E">
      <w:pPr>
        <w:pStyle w:val="Funotentext"/>
      </w:pPr>
      <w:r>
        <w:rPr>
          <w:rStyle w:val="Funotenzeichen"/>
        </w:rPr>
        <w:footnoteRef/>
      </w:r>
      <w:r>
        <w:t xml:space="preserve"> </w:t>
      </w:r>
      <w:r w:rsidRPr="0084442E">
        <w:t>Eine Übersicht über aktuelle Vermögensstudien für Österreich finden Sie unter: blog.arbeit-wirtschaft.at/</w:t>
      </w:r>
      <w:proofErr w:type="spellStart"/>
      <w:r w:rsidRPr="0084442E">
        <w:t>ezb-vermoegenskonzentration</w:t>
      </w:r>
      <w:proofErr w:type="spellEnd"/>
    </w:p>
  </w:footnote>
  <w:footnote w:id="7">
    <w:p w:rsidR="009A6654" w:rsidRDefault="009A6654">
      <w:pPr>
        <w:pStyle w:val="Funotentext"/>
      </w:pPr>
      <w:r>
        <w:rPr>
          <w:rStyle w:val="Funotenzeichen"/>
        </w:rPr>
        <w:footnoteRef/>
      </w:r>
      <w:r>
        <w:t xml:space="preserve"> </w:t>
      </w:r>
      <w:r w:rsidRPr="009A6654">
        <w:t>IRAP (</w:t>
      </w:r>
      <w:proofErr w:type="spellStart"/>
      <w:r w:rsidRPr="009A6654">
        <w:t>Imposta</w:t>
      </w:r>
      <w:proofErr w:type="spellEnd"/>
      <w:r w:rsidRPr="009A6654">
        <w:t xml:space="preserve"> regionale </w:t>
      </w:r>
      <w:proofErr w:type="spellStart"/>
      <w:r w:rsidRPr="009A6654">
        <w:t>sulle</w:t>
      </w:r>
      <w:proofErr w:type="spellEnd"/>
      <w:r w:rsidRPr="009A6654">
        <w:t xml:space="preserve"> </w:t>
      </w:r>
      <w:proofErr w:type="spellStart"/>
      <w:r w:rsidRPr="009A6654">
        <w:t>attività</w:t>
      </w:r>
      <w:proofErr w:type="spellEnd"/>
      <w:r w:rsidRPr="009A6654">
        <w:t xml:space="preserve"> </w:t>
      </w:r>
      <w:proofErr w:type="spellStart"/>
      <w:r w:rsidRPr="009A6654">
        <w:t>produttive</w:t>
      </w:r>
      <w:proofErr w:type="spellEnd"/>
      <w:r w:rsidRPr="009A6654">
        <w:t>) ist eine italienische Regionalsteuer auf Produktivtätigkeiten. Sie wird generell auf alle gewerblichen Tätigkeiten angewendet, die die Erzeugung bzw. Erbringung oder den Austausch von Gegenständen oder Dienstleistungen zum Gegenstand haben.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64B3"/>
    <w:multiLevelType w:val="hybridMultilevel"/>
    <w:tmpl w:val="C0922298"/>
    <w:lvl w:ilvl="0" w:tplc="793667C6">
      <w:start w:val="1996"/>
      <w:numFmt w:val="bullet"/>
      <w:lvlText w:val="•"/>
      <w:lvlJc w:val="left"/>
      <w:pPr>
        <w:ind w:left="72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54E37F9"/>
    <w:multiLevelType w:val="hybridMultilevel"/>
    <w:tmpl w:val="09FC52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6F80F0A"/>
    <w:multiLevelType w:val="hybridMultilevel"/>
    <w:tmpl w:val="157ED6FC"/>
    <w:lvl w:ilvl="0" w:tplc="0B16BC72">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nsid w:val="0E62068F"/>
    <w:multiLevelType w:val="hybridMultilevel"/>
    <w:tmpl w:val="B3DA46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1030295C"/>
    <w:multiLevelType w:val="hybridMultilevel"/>
    <w:tmpl w:val="C1E86628"/>
    <w:lvl w:ilvl="0" w:tplc="793667C6">
      <w:start w:val="1996"/>
      <w:numFmt w:val="bullet"/>
      <w:lvlText w:val="•"/>
      <w:lvlJc w:val="left"/>
      <w:pPr>
        <w:ind w:left="72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151F7BF2"/>
    <w:multiLevelType w:val="hybridMultilevel"/>
    <w:tmpl w:val="93B29CD0"/>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1A101418"/>
    <w:multiLevelType w:val="hybridMultilevel"/>
    <w:tmpl w:val="1F94F2CE"/>
    <w:lvl w:ilvl="0" w:tplc="EB7A4CE4">
      <w:start w:val="1996"/>
      <w:numFmt w:val="bullet"/>
      <w:lvlText w:val="-"/>
      <w:lvlJc w:val="left"/>
      <w:pPr>
        <w:ind w:left="216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1AFA192B"/>
    <w:multiLevelType w:val="hybridMultilevel"/>
    <w:tmpl w:val="8DA224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1BB41011"/>
    <w:multiLevelType w:val="hybridMultilevel"/>
    <w:tmpl w:val="319A43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1EA85830"/>
    <w:multiLevelType w:val="hybridMultilevel"/>
    <w:tmpl w:val="3B0EED62"/>
    <w:lvl w:ilvl="0" w:tplc="573C2022">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nsid w:val="28C01057"/>
    <w:multiLevelType w:val="hybridMultilevel"/>
    <w:tmpl w:val="F8C662C6"/>
    <w:lvl w:ilvl="0" w:tplc="793667C6">
      <w:start w:val="1996"/>
      <w:numFmt w:val="bullet"/>
      <w:lvlText w:val="•"/>
      <w:lvlJc w:val="left"/>
      <w:pPr>
        <w:ind w:left="72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295C6767"/>
    <w:multiLevelType w:val="hybridMultilevel"/>
    <w:tmpl w:val="CC6AAABC"/>
    <w:lvl w:ilvl="0" w:tplc="793667C6">
      <w:start w:val="1996"/>
      <w:numFmt w:val="bullet"/>
      <w:lvlText w:val="•"/>
      <w:lvlJc w:val="left"/>
      <w:pPr>
        <w:ind w:left="720" w:hanging="360"/>
      </w:pPr>
      <w:rPr>
        <w:rFonts w:ascii="Calibri" w:eastAsiaTheme="minorHAnsi" w:hAnsi="Calibri" w:cs="MinionPro-Regular"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nsid w:val="298A4D7D"/>
    <w:multiLevelType w:val="hybridMultilevel"/>
    <w:tmpl w:val="E5A4528E"/>
    <w:lvl w:ilvl="0" w:tplc="793667C6">
      <w:start w:val="1996"/>
      <w:numFmt w:val="bullet"/>
      <w:lvlText w:val="•"/>
      <w:lvlJc w:val="left"/>
      <w:pPr>
        <w:ind w:left="72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2CD64D8E"/>
    <w:multiLevelType w:val="hybridMultilevel"/>
    <w:tmpl w:val="7BEC8586"/>
    <w:lvl w:ilvl="0" w:tplc="793667C6">
      <w:start w:val="1996"/>
      <w:numFmt w:val="bullet"/>
      <w:lvlText w:val="•"/>
      <w:lvlJc w:val="left"/>
      <w:pPr>
        <w:ind w:left="720" w:hanging="360"/>
      </w:pPr>
      <w:rPr>
        <w:rFonts w:ascii="Calibri" w:eastAsiaTheme="minorHAnsi" w:hAnsi="Calibri" w:cs="MinionPro-Regular"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2D303A8C"/>
    <w:multiLevelType w:val="hybridMultilevel"/>
    <w:tmpl w:val="90904F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nsid w:val="2E5771BE"/>
    <w:multiLevelType w:val="hybridMultilevel"/>
    <w:tmpl w:val="96F49020"/>
    <w:lvl w:ilvl="0" w:tplc="871CBF4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nsid w:val="2EA53E93"/>
    <w:multiLevelType w:val="hybridMultilevel"/>
    <w:tmpl w:val="ABBCF868"/>
    <w:lvl w:ilvl="0" w:tplc="635C22B8">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nsid w:val="30061415"/>
    <w:multiLevelType w:val="hybridMultilevel"/>
    <w:tmpl w:val="5AE2E8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nsid w:val="30B00CFD"/>
    <w:multiLevelType w:val="hybridMultilevel"/>
    <w:tmpl w:val="E03CF33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nsid w:val="35FD5733"/>
    <w:multiLevelType w:val="hybridMultilevel"/>
    <w:tmpl w:val="E56842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nsid w:val="369C2AC6"/>
    <w:multiLevelType w:val="hybridMultilevel"/>
    <w:tmpl w:val="5150BA7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nsid w:val="37586416"/>
    <w:multiLevelType w:val="hybridMultilevel"/>
    <w:tmpl w:val="CF96390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nsid w:val="384F7299"/>
    <w:multiLevelType w:val="hybridMultilevel"/>
    <w:tmpl w:val="765AC00C"/>
    <w:lvl w:ilvl="0" w:tplc="0C07000D">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nsid w:val="385D79A5"/>
    <w:multiLevelType w:val="hybridMultilevel"/>
    <w:tmpl w:val="3D56981C"/>
    <w:lvl w:ilvl="0" w:tplc="A0463BB6">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4">
    <w:nsid w:val="3DBD4CE3"/>
    <w:multiLevelType w:val="hybridMultilevel"/>
    <w:tmpl w:val="E48EAD5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nsid w:val="446B0EE8"/>
    <w:multiLevelType w:val="hybridMultilevel"/>
    <w:tmpl w:val="1716F088"/>
    <w:lvl w:ilvl="0" w:tplc="0C07000D">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nsid w:val="4542361B"/>
    <w:multiLevelType w:val="hybridMultilevel"/>
    <w:tmpl w:val="775445E0"/>
    <w:lvl w:ilvl="0" w:tplc="793667C6">
      <w:start w:val="1996"/>
      <w:numFmt w:val="bullet"/>
      <w:lvlText w:val="•"/>
      <w:lvlJc w:val="left"/>
      <w:pPr>
        <w:ind w:left="720" w:hanging="360"/>
      </w:pPr>
      <w:rPr>
        <w:rFonts w:ascii="Calibri" w:eastAsiaTheme="minorHAnsi" w:hAnsi="Calibri" w:cs="MinionPro-Regular"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nsid w:val="4A404CB2"/>
    <w:multiLevelType w:val="hybridMultilevel"/>
    <w:tmpl w:val="20DCF6C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nsid w:val="4A957519"/>
    <w:multiLevelType w:val="hybridMultilevel"/>
    <w:tmpl w:val="0DACF8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nsid w:val="4CA76017"/>
    <w:multiLevelType w:val="hybridMultilevel"/>
    <w:tmpl w:val="685E634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EB7A4CE4">
      <w:start w:val="1996"/>
      <w:numFmt w:val="bullet"/>
      <w:lvlText w:val="-"/>
      <w:lvlJc w:val="left"/>
      <w:pPr>
        <w:ind w:left="2160" w:hanging="360"/>
      </w:pPr>
      <w:rPr>
        <w:rFonts w:ascii="Calibri" w:eastAsiaTheme="minorHAnsi" w:hAnsi="Calibri" w:cs="MinionPro-Regular"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nsid w:val="4DD65BF3"/>
    <w:multiLevelType w:val="hybridMultilevel"/>
    <w:tmpl w:val="9AECBC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nsid w:val="562F1B10"/>
    <w:multiLevelType w:val="hybridMultilevel"/>
    <w:tmpl w:val="FC60890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2">
    <w:nsid w:val="57DC6A00"/>
    <w:multiLevelType w:val="hybridMultilevel"/>
    <w:tmpl w:val="C5FAB8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nsid w:val="58DE11B9"/>
    <w:multiLevelType w:val="hybridMultilevel"/>
    <w:tmpl w:val="386877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nsid w:val="5BE93451"/>
    <w:multiLevelType w:val="hybridMultilevel"/>
    <w:tmpl w:val="90B04842"/>
    <w:lvl w:ilvl="0" w:tplc="793667C6">
      <w:start w:val="1996"/>
      <w:numFmt w:val="bullet"/>
      <w:lvlText w:val="•"/>
      <w:lvlJc w:val="left"/>
      <w:pPr>
        <w:ind w:left="720" w:hanging="360"/>
      </w:pPr>
      <w:rPr>
        <w:rFonts w:ascii="Calibri" w:eastAsiaTheme="minorHAnsi" w:hAnsi="Calibri" w:cs="MinionPro-Regular"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nsid w:val="5D4605C3"/>
    <w:multiLevelType w:val="hybridMultilevel"/>
    <w:tmpl w:val="8C3C81A0"/>
    <w:lvl w:ilvl="0" w:tplc="A700279E">
      <w:start w:val="1"/>
      <w:numFmt w:val="decimal"/>
      <w:lvlText w:val="%1."/>
      <w:lvlJc w:val="left"/>
      <w:pPr>
        <w:ind w:left="1068" w:hanging="360"/>
      </w:pPr>
    </w:lvl>
    <w:lvl w:ilvl="1" w:tplc="0C070019" w:tentative="1">
      <w:start w:val="1"/>
      <w:numFmt w:val="lowerLetter"/>
      <w:lvlText w:val="%2."/>
      <w:lvlJc w:val="left"/>
      <w:pPr>
        <w:ind w:left="2160" w:hanging="360"/>
      </w:pPr>
    </w:lvl>
    <w:lvl w:ilvl="2" w:tplc="0C07001B" w:tentative="1">
      <w:start w:val="1"/>
      <w:numFmt w:val="lowerRoman"/>
      <w:lvlText w:val="%3."/>
      <w:lvlJc w:val="right"/>
      <w:pPr>
        <w:ind w:left="2880" w:hanging="180"/>
      </w:pPr>
    </w:lvl>
    <w:lvl w:ilvl="3" w:tplc="0C07000F" w:tentative="1">
      <w:start w:val="1"/>
      <w:numFmt w:val="decimal"/>
      <w:lvlText w:val="%4."/>
      <w:lvlJc w:val="left"/>
      <w:pPr>
        <w:ind w:left="3600" w:hanging="360"/>
      </w:pPr>
    </w:lvl>
    <w:lvl w:ilvl="4" w:tplc="0C070019" w:tentative="1">
      <w:start w:val="1"/>
      <w:numFmt w:val="lowerLetter"/>
      <w:lvlText w:val="%5."/>
      <w:lvlJc w:val="left"/>
      <w:pPr>
        <w:ind w:left="4320" w:hanging="360"/>
      </w:pPr>
    </w:lvl>
    <w:lvl w:ilvl="5" w:tplc="0C07001B" w:tentative="1">
      <w:start w:val="1"/>
      <w:numFmt w:val="lowerRoman"/>
      <w:lvlText w:val="%6."/>
      <w:lvlJc w:val="right"/>
      <w:pPr>
        <w:ind w:left="5040" w:hanging="180"/>
      </w:pPr>
    </w:lvl>
    <w:lvl w:ilvl="6" w:tplc="0C07000F" w:tentative="1">
      <w:start w:val="1"/>
      <w:numFmt w:val="decimal"/>
      <w:lvlText w:val="%7."/>
      <w:lvlJc w:val="left"/>
      <w:pPr>
        <w:ind w:left="5760" w:hanging="360"/>
      </w:pPr>
    </w:lvl>
    <w:lvl w:ilvl="7" w:tplc="0C070019" w:tentative="1">
      <w:start w:val="1"/>
      <w:numFmt w:val="lowerLetter"/>
      <w:lvlText w:val="%8."/>
      <w:lvlJc w:val="left"/>
      <w:pPr>
        <w:ind w:left="6480" w:hanging="360"/>
      </w:pPr>
    </w:lvl>
    <w:lvl w:ilvl="8" w:tplc="0C07001B" w:tentative="1">
      <w:start w:val="1"/>
      <w:numFmt w:val="lowerRoman"/>
      <w:lvlText w:val="%9."/>
      <w:lvlJc w:val="right"/>
      <w:pPr>
        <w:ind w:left="7200" w:hanging="180"/>
      </w:pPr>
    </w:lvl>
  </w:abstractNum>
  <w:abstractNum w:abstractNumId="36">
    <w:nsid w:val="626D299F"/>
    <w:multiLevelType w:val="hybridMultilevel"/>
    <w:tmpl w:val="D6B20B2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nsid w:val="63AA4DE2"/>
    <w:multiLevelType w:val="hybridMultilevel"/>
    <w:tmpl w:val="138078E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nsid w:val="65041E5A"/>
    <w:multiLevelType w:val="hybridMultilevel"/>
    <w:tmpl w:val="497452E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nsid w:val="6C8A4B4B"/>
    <w:multiLevelType w:val="multilevel"/>
    <w:tmpl w:val="7E3EA224"/>
    <w:lvl w:ilvl="0">
      <w:start w:val="1"/>
      <w:numFmt w:val="decimal"/>
      <w:lvlText w:val="%1"/>
      <w:lvlJc w:val="left"/>
      <w:pPr>
        <w:ind w:left="432" w:hanging="432"/>
      </w:pPr>
    </w:lvl>
    <w:lvl w:ilvl="1">
      <w:start w:val="1"/>
      <w:numFmt w:val="decimal"/>
      <w:lvlText w:val="%1.%2"/>
      <w:lvlJc w:val="left"/>
      <w:pPr>
        <w:ind w:left="717" w:hanging="576"/>
      </w:pPr>
    </w:lvl>
    <w:lvl w:ilvl="2">
      <w:start w:val="1"/>
      <w:numFmt w:val="decimal"/>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40">
    <w:nsid w:val="78DD0FB8"/>
    <w:multiLevelType w:val="hybridMultilevel"/>
    <w:tmpl w:val="7564FA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1"/>
  </w:num>
  <w:num w:numId="2">
    <w:abstractNumId w:val="25"/>
  </w:num>
  <w:num w:numId="3">
    <w:abstractNumId w:val="22"/>
  </w:num>
  <w:num w:numId="4">
    <w:abstractNumId w:val="9"/>
  </w:num>
  <w:num w:numId="5">
    <w:abstractNumId w:val="19"/>
  </w:num>
  <w:num w:numId="6">
    <w:abstractNumId w:val="39"/>
  </w:num>
  <w:num w:numId="7">
    <w:abstractNumId w:val="16"/>
  </w:num>
  <w:num w:numId="8">
    <w:abstractNumId w:val="35"/>
  </w:num>
  <w:num w:numId="9">
    <w:abstractNumId w:val="2"/>
  </w:num>
  <w:num w:numId="10">
    <w:abstractNumId w:val="15"/>
  </w:num>
  <w:num w:numId="11">
    <w:abstractNumId w:val="23"/>
  </w:num>
  <w:num w:numId="12">
    <w:abstractNumId w:val="40"/>
  </w:num>
  <w:num w:numId="13">
    <w:abstractNumId w:val="28"/>
  </w:num>
  <w:num w:numId="14">
    <w:abstractNumId w:val="38"/>
  </w:num>
  <w:num w:numId="15">
    <w:abstractNumId w:val="30"/>
  </w:num>
  <w:num w:numId="16">
    <w:abstractNumId w:val="21"/>
  </w:num>
  <w:num w:numId="17">
    <w:abstractNumId w:val="27"/>
  </w:num>
  <w:num w:numId="18">
    <w:abstractNumId w:val="29"/>
  </w:num>
  <w:num w:numId="19">
    <w:abstractNumId w:val="6"/>
  </w:num>
  <w:num w:numId="20">
    <w:abstractNumId w:val="11"/>
  </w:num>
  <w:num w:numId="21">
    <w:abstractNumId w:val="4"/>
  </w:num>
  <w:num w:numId="22">
    <w:abstractNumId w:val="26"/>
  </w:num>
  <w:num w:numId="23">
    <w:abstractNumId w:val="13"/>
  </w:num>
  <w:num w:numId="24">
    <w:abstractNumId w:val="5"/>
  </w:num>
  <w:num w:numId="25">
    <w:abstractNumId w:val="0"/>
  </w:num>
  <w:num w:numId="26">
    <w:abstractNumId w:val="34"/>
  </w:num>
  <w:num w:numId="27">
    <w:abstractNumId w:val="10"/>
  </w:num>
  <w:num w:numId="28">
    <w:abstractNumId w:val="12"/>
  </w:num>
  <w:num w:numId="29">
    <w:abstractNumId w:val="20"/>
  </w:num>
  <w:num w:numId="30">
    <w:abstractNumId w:val="7"/>
  </w:num>
  <w:num w:numId="31">
    <w:abstractNumId w:val="14"/>
  </w:num>
  <w:num w:numId="32">
    <w:abstractNumId w:val="18"/>
  </w:num>
  <w:num w:numId="33">
    <w:abstractNumId w:val="33"/>
  </w:num>
  <w:num w:numId="34">
    <w:abstractNumId w:val="3"/>
  </w:num>
  <w:num w:numId="35">
    <w:abstractNumId w:val="36"/>
  </w:num>
  <w:num w:numId="36">
    <w:abstractNumId w:val="24"/>
  </w:num>
  <w:num w:numId="37">
    <w:abstractNumId w:val="1"/>
  </w:num>
  <w:num w:numId="38">
    <w:abstractNumId w:val="32"/>
  </w:num>
  <w:num w:numId="39">
    <w:abstractNumId w:val="37"/>
  </w:num>
  <w:num w:numId="40">
    <w:abstractNumId w:val="8"/>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75D"/>
    <w:rsid w:val="00053152"/>
    <w:rsid w:val="000F1753"/>
    <w:rsid w:val="0012512B"/>
    <w:rsid w:val="0013398F"/>
    <w:rsid w:val="001D0808"/>
    <w:rsid w:val="001F6313"/>
    <w:rsid w:val="00215BC3"/>
    <w:rsid w:val="00335CDE"/>
    <w:rsid w:val="00356BB8"/>
    <w:rsid w:val="00422231"/>
    <w:rsid w:val="00440266"/>
    <w:rsid w:val="004839F8"/>
    <w:rsid w:val="0052194E"/>
    <w:rsid w:val="00542FE3"/>
    <w:rsid w:val="00564093"/>
    <w:rsid w:val="00583AAD"/>
    <w:rsid w:val="005A1F43"/>
    <w:rsid w:val="005A5AB7"/>
    <w:rsid w:val="005C4807"/>
    <w:rsid w:val="005D14E2"/>
    <w:rsid w:val="005D7D5A"/>
    <w:rsid w:val="006036B8"/>
    <w:rsid w:val="00637CCF"/>
    <w:rsid w:val="006738E5"/>
    <w:rsid w:val="00677ECF"/>
    <w:rsid w:val="0073008E"/>
    <w:rsid w:val="00795A50"/>
    <w:rsid w:val="007B1F63"/>
    <w:rsid w:val="007E2D8B"/>
    <w:rsid w:val="007F775D"/>
    <w:rsid w:val="0084442E"/>
    <w:rsid w:val="00851882"/>
    <w:rsid w:val="00917F05"/>
    <w:rsid w:val="009853EE"/>
    <w:rsid w:val="009A6654"/>
    <w:rsid w:val="009B5B06"/>
    <w:rsid w:val="00A36209"/>
    <w:rsid w:val="00A52ACC"/>
    <w:rsid w:val="00A904B4"/>
    <w:rsid w:val="00A9787B"/>
    <w:rsid w:val="00AB1A87"/>
    <w:rsid w:val="00B66E44"/>
    <w:rsid w:val="00BC78E2"/>
    <w:rsid w:val="00BE541B"/>
    <w:rsid w:val="00C0696A"/>
    <w:rsid w:val="00C22537"/>
    <w:rsid w:val="00D11ED9"/>
    <w:rsid w:val="00D153C7"/>
    <w:rsid w:val="00D50019"/>
    <w:rsid w:val="00DF06BC"/>
    <w:rsid w:val="00E110A2"/>
    <w:rsid w:val="00E575C2"/>
    <w:rsid w:val="00E8120E"/>
    <w:rsid w:val="00E935B0"/>
    <w:rsid w:val="00ED666A"/>
    <w:rsid w:val="00EF7454"/>
    <w:rsid w:val="00F445DF"/>
    <w:rsid w:val="00FE2B4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853EE"/>
  </w:style>
  <w:style w:type="paragraph" w:styleId="berschrift1">
    <w:name w:val="heading 1"/>
    <w:basedOn w:val="ZGBAbschnitt"/>
    <w:next w:val="Standard"/>
    <w:link w:val="berschrift1Zchn"/>
    <w:autoRedefine/>
    <w:uiPriority w:val="9"/>
    <w:qFormat/>
    <w:rsid w:val="00AB1A87"/>
    <w:pPr>
      <w:ind w:left="432" w:hanging="432"/>
      <w:outlineLvl w:val="0"/>
    </w:pPr>
  </w:style>
  <w:style w:type="paragraph" w:styleId="berschrift2">
    <w:name w:val="heading 2"/>
    <w:basedOn w:val="berschrift1"/>
    <w:next w:val="ZGBFlietext"/>
    <w:link w:val="berschrift2Zchn"/>
    <w:autoRedefine/>
    <w:uiPriority w:val="9"/>
    <w:unhideWhenUsed/>
    <w:qFormat/>
    <w:rsid w:val="009A6654"/>
    <w:pPr>
      <w:ind w:left="0" w:firstLine="0"/>
      <w:outlineLvl w:val="1"/>
    </w:pPr>
    <w:rPr>
      <w:rFonts w:ascii="Verdana" w:hAnsi="Verdana"/>
      <w:i/>
      <w:iCs/>
      <w:sz w:val="30"/>
      <w:szCs w:val="30"/>
    </w:rPr>
  </w:style>
  <w:style w:type="paragraph" w:styleId="berschrift3">
    <w:name w:val="heading 3"/>
    <w:basedOn w:val="Standard"/>
    <w:next w:val="Standard"/>
    <w:link w:val="berschrift3Zchn"/>
    <w:uiPriority w:val="9"/>
    <w:unhideWhenUsed/>
    <w:qFormat/>
    <w:rsid w:val="00BE541B"/>
    <w:pPr>
      <w:keepNext/>
      <w:keepLines/>
      <w:spacing w:before="200" w:after="0"/>
      <w:outlineLvl w:val="2"/>
    </w:pPr>
    <w:rPr>
      <w:rFonts w:asciiTheme="majorHAnsi" w:eastAsiaTheme="majorEastAsia" w:hAnsiTheme="majorHAnsi" w:cstheme="majorBidi"/>
      <w:b/>
      <w:bCs/>
      <w:sz w:val="28"/>
    </w:rPr>
  </w:style>
  <w:style w:type="paragraph" w:styleId="berschrift4">
    <w:name w:val="heading 4"/>
    <w:basedOn w:val="Standard"/>
    <w:next w:val="Standard"/>
    <w:link w:val="berschrift4Zchn"/>
    <w:uiPriority w:val="9"/>
    <w:unhideWhenUsed/>
    <w:qFormat/>
    <w:rsid w:val="00D153C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BE541B"/>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BE541B"/>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BE541B"/>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BE541B"/>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BE541B"/>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text">
    <w:name w:val="Fließtext"/>
    <w:basedOn w:val="Standard"/>
    <w:uiPriority w:val="99"/>
    <w:rsid w:val="009853EE"/>
    <w:pPr>
      <w:autoSpaceDE w:val="0"/>
      <w:autoSpaceDN w:val="0"/>
      <w:adjustRightInd w:val="0"/>
      <w:spacing w:after="0" w:line="288" w:lineRule="auto"/>
      <w:jc w:val="both"/>
      <w:textAlignment w:val="center"/>
    </w:pPr>
    <w:rPr>
      <w:rFonts w:ascii="MinionPro-Regular" w:hAnsi="MinionPro-Regular" w:cs="MinionPro-Regular"/>
      <w:color w:val="000000"/>
      <w:sz w:val="20"/>
      <w:szCs w:val="20"/>
      <w:lang w:val="de-DE"/>
    </w:rPr>
  </w:style>
  <w:style w:type="character" w:customStyle="1" w:styleId="FLietext0">
    <w:name w:val="FLießtext"/>
    <w:uiPriority w:val="99"/>
    <w:rsid w:val="009853EE"/>
    <w:rPr>
      <w:rFonts w:ascii="MinionPro-Regular" w:hAnsi="MinionPro-Regular" w:cs="MinionPro-Regular"/>
      <w:sz w:val="20"/>
      <w:szCs w:val="20"/>
    </w:rPr>
  </w:style>
  <w:style w:type="paragraph" w:customStyle="1" w:styleId="Manahme">
    <w:name w:val="Maßnahme"/>
    <w:basedOn w:val="Flietext"/>
    <w:uiPriority w:val="99"/>
    <w:rsid w:val="009853EE"/>
    <w:pPr>
      <w:suppressAutoHyphens/>
      <w:jc w:val="left"/>
    </w:pPr>
    <w:rPr>
      <w:rFonts w:ascii="Verdana" w:hAnsi="Verdana" w:cs="Verdana"/>
      <w:b/>
      <w:bCs/>
      <w:color w:val="EA1C75"/>
      <w:sz w:val="28"/>
      <w:szCs w:val="28"/>
    </w:rPr>
  </w:style>
  <w:style w:type="character" w:customStyle="1" w:styleId="Manahme1">
    <w:name w:val="Maßnahme1"/>
    <w:basedOn w:val="Absatz-Standardschriftart"/>
    <w:uiPriority w:val="99"/>
    <w:rsid w:val="009853EE"/>
    <w:rPr>
      <w:rFonts w:ascii="Verdana" w:hAnsi="Verdana" w:cs="Verdana"/>
      <w:b/>
      <w:bCs/>
      <w:color w:val="EA1C75"/>
      <w:sz w:val="28"/>
      <w:szCs w:val="28"/>
    </w:rPr>
  </w:style>
  <w:style w:type="paragraph" w:customStyle="1" w:styleId="KeinAbsatzformat">
    <w:name w:val="[Kein Absatzformat]"/>
    <w:rsid w:val="009853EE"/>
    <w:pPr>
      <w:autoSpaceDE w:val="0"/>
      <w:autoSpaceDN w:val="0"/>
      <w:adjustRightInd w:val="0"/>
      <w:spacing w:after="0" w:line="288" w:lineRule="auto"/>
      <w:textAlignment w:val="center"/>
    </w:pPr>
    <w:rPr>
      <w:rFonts w:ascii="MinionPro-Regular" w:hAnsi="MinionPro-Regular" w:cs="MinionPro-Regular"/>
      <w:color w:val="000000"/>
      <w:sz w:val="24"/>
      <w:szCs w:val="24"/>
      <w:lang w:val="de-DE"/>
    </w:rPr>
  </w:style>
  <w:style w:type="character" w:customStyle="1" w:styleId="Einleitung">
    <w:name w:val="Einleitung"/>
    <w:basedOn w:val="FLietext0"/>
    <w:uiPriority w:val="99"/>
    <w:rsid w:val="009853EE"/>
    <w:rPr>
      <w:rFonts w:ascii="MinionPro-Regular" w:hAnsi="MinionPro-Regular" w:cs="MinionPro-Regular"/>
      <w:b/>
      <w:bCs/>
      <w:i/>
      <w:iCs/>
      <w:sz w:val="20"/>
      <w:szCs w:val="20"/>
    </w:rPr>
  </w:style>
  <w:style w:type="paragraph" w:customStyle="1" w:styleId="EinfAbs">
    <w:name w:val="[Einf. Abs.]"/>
    <w:basedOn w:val="KeinAbsatzformat"/>
    <w:uiPriority w:val="99"/>
    <w:rsid w:val="009853EE"/>
  </w:style>
  <w:style w:type="paragraph" w:customStyle="1" w:styleId="Kapitelberschrift">
    <w:name w:val="Kapitelüberschrift"/>
    <w:basedOn w:val="KeinAbsatzformat"/>
    <w:uiPriority w:val="99"/>
    <w:rsid w:val="009853EE"/>
    <w:pPr>
      <w:suppressAutoHyphens/>
      <w:ind w:left="964"/>
    </w:pPr>
    <w:rPr>
      <w:rFonts w:ascii="Verdana" w:hAnsi="Verdana" w:cs="Verdana"/>
      <w:b/>
      <w:bCs/>
      <w:i/>
      <w:iCs/>
      <w:color w:val="FFFFFF"/>
      <w:sz w:val="38"/>
      <w:szCs w:val="38"/>
    </w:rPr>
  </w:style>
  <w:style w:type="character" w:customStyle="1" w:styleId="Einleitung1">
    <w:name w:val="Einleitung1"/>
    <w:basedOn w:val="FLietext0"/>
    <w:uiPriority w:val="99"/>
    <w:rsid w:val="009853EE"/>
    <w:rPr>
      <w:rFonts w:ascii="MinionPro-BoldIt" w:hAnsi="MinionPro-BoldIt" w:cs="MinionPro-BoldIt"/>
      <w:b/>
      <w:bCs/>
      <w:i/>
      <w:iCs/>
      <w:sz w:val="20"/>
      <w:szCs w:val="20"/>
    </w:rPr>
  </w:style>
  <w:style w:type="paragraph" w:customStyle="1" w:styleId="ZGBAbschnitt">
    <w:name w:val="ZGB Abschnitt"/>
    <w:basedOn w:val="EinfAbs"/>
    <w:qFormat/>
    <w:rsid w:val="009853EE"/>
    <w:pPr>
      <w:spacing w:line="240" w:lineRule="auto"/>
    </w:pPr>
    <w:rPr>
      <w:rFonts w:asciiTheme="minorHAnsi" w:hAnsiTheme="minorHAnsi" w:cs="Verdana"/>
      <w:b/>
      <w:bCs/>
      <w:color w:val="auto"/>
      <w:sz w:val="48"/>
      <w:szCs w:val="48"/>
      <w:u w:val="single"/>
    </w:rPr>
  </w:style>
  <w:style w:type="paragraph" w:customStyle="1" w:styleId="ZGBKapitel">
    <w:name w:val="ZGB Kapitel"/>
    <w:basedOn w:val="Kapitelberschrift"/>
    <w:qFormat/>
    <w:rsid w:val="009853EE"/>
    <w:pPr>
      <w:spacing w:line="240" w:lineRule="auto"/>
      <w:ind w:left="0"/>
    </w:pPr>
    <w:rPr>
      <w:rFonts w:asciiTheme="minorHAnsi" w:hAnsiTheme="minorHAnsi"/>
      <w:i w:val="0"/>
      <w:color w:val="auto"/>
      <w:sz w:val="36"/>
      <w:szCs w:val="36"/>
    </w:rPr>
  </w:style>
  <w:style w:type="paragraph" w:customStyle="1" w:styleId="ZGBManahme">
    <w:name w:val="ZGB Maßnahme"/>
    <w:basedOn w:val="Manahme"/>
    <w:qFormat/>
    <w:rsid w:val="009853EE"/>
    <w:pPr>
      <w:spacing w:line="240" w:lineRule="auto"/>
    </w:pPr>
    <w:rPr>
      <w:rFonts w:asciiTheme="minorHAnsi" w:hAnsiTheme="minorHAnsi"/>
      <w:color w:val="auto"/>
    </w:rPr>
  </w:style>
  <w:style w:type="paragraph" w:customStyle="1" w:styleId="ZGBEinleitung">
    <w:name w:val="ZGB Einleitung"/>
    <w:basedOn w:val="Standard"/>
    <w:qFormat/>
    <w:rsid w:val="009853EE"/>
    <w:pPr>
      <w:autoSpaceDE w:val="0"/>
      <w:autoSpaceDN w:val="0"/>
      <w:adjustRightInd w:val="0"/>
      <w:spacing w:after="0" w:line="240" w:lineRule="auto"/>
      <w:jc w:val="both"/>
      <w:textAlignment w:val="center"/>
    </w:pPr>
    <w:rPr>
      <w:rFonts w:cs="MinionPro-Regular"/>
      <w:b/>
      <w:i/>
      <w:lang w:val="de-DE"/>
    </w:rPr>
  </w:style>
  <w:style w:type="paragraph" w:customStyle="1" w:styleId="ZGBFlietext">
    <w:name w:val="ZGB Fließtext"/>
    <w:basedOn w:val="Flietext"/>
    <w:qFormat/>
    <w:rsid w:val="00BE541B"/>
    <w:pPr>
      <w:spacing w:line="240" w:lineRule="auto"/>
    </w:pPr>
    <w:rPr>
      <w:rFonts w:asciiTheme="minorHAnsi" w:hAnsiTheme="minorHAnsi"/>
      <w:color w:val="000000" w:themeColor="text1"/>
      <w:sz w:val="22"/>
      <w:szCs w:val="22"/>
    </w:rPr>
  </w:style>
  <w:style w:type="paragraph" w:customStyle="1" w:styleId="ZGBKastenberschrift">
    <w:name w:val="ZGB Kastenüberschrift"/>
    <w:basedOn w:val="Manahme"/>
    <w:qFormat/>
    <w:rsid w:val="009853EE"/>
    <w:pPr>
      <w:pBdr>
        <w:top w:val="single" w:sz="4" w:space="1" w:color="auto"/>
        <w:left w:val="single" w:sz="4" w:space="4" w:color="auto"/>
        <w:bottom w:val="single" w:sz="4" w:space="1" w:color="auto"/>
        <w:right w:val="single" w:sz="4" w:space="4" w:color="auto"/>
      </w:pBdr>
      <w:spacing w:line="240" w:lineRule="auto"/>
    </w:pPr>
    <w:rPr>
      <w:rFonts w:asciiTheme="minorHAnsi" w:hAnsiTheme="minorHAnsi"/>
      <w:caps/>
      <w:color w:val="auto"/>
    </w:rPr>
  </w:style>
  <w:style w:type="paragraph" w:styleId="Sprechblasentext">
    <w:name w:val="Balloon Text"/>
    <w:basedOn w:val="Standard"/>
    <w:link w:val="SprechblasentextZchn"/>
    <w:uiPriority w:val="99"/>
    <w:semiHidden/>
    <w:unhideWhenUsed/>
    <w:rsid w:val="009853E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53EE"/>
    <w:rPr>
      <w:rFonts w:ascii="Tahoma" w:hAnsi="Tahoma" w:cs="Tahoma"/>
      <w:sz w:val="16"/>
      <w:szCs w:val="16"/>
    </w:rPr>
  </w:style>
  <w:style w:type="paragraph" w:styleId="KeinLeerraum">
    <w:name w:val="No Spacing"/>
    <w:uiPriority w:val="1"/>
    <w:qFormat/>
    <w:rsid w:val="009853EE"/>
    <w:pPr>
      <w:spacing w:after="0" w:line="240" w:lineRule="auto"/>
    </w:pPr>
  </w:style>
  <w:style w:type="character" w:styleId="IntensiveHervorhebung">
    <w:name w:val="Intense Emphasis"/>
    <w:basedOn w:val="Absatz-Standardschriftart"/>
    <w:uiPriority w:val="21"/>
    <w:qFormat/>
    <w:rsid w:val="009853EE"/>
    <w:rPr>
      <w:b/>
      <w:bCs/>
      <w:i/>
      <w:iCs/>
      <w:color w:val="4F81BD" w:themeColor="accent1"/>
    </w:rPr>
  </w:style>
  <w:style w:type="character" w:styleId="Hyperlink">
    <w:name w:val="Hyperlink"/>
    <w:basedOn w:val="Absatz-Standardschriftart"/>
    <w:uiPriority w:val="99"/>
    <w:unhideWhenUsed/>
    <w:rsid w:val="00583AAD"/>
    <w:rPr>
      <w:color w:val="0000FF" w:themeColor="hyperlink"/>
      <w:u w:val="single"/>
    </w:rPr>
  </w:style>
  <w:style w:type="character" w:customStyle="1" w:styleId="berschrift1Zchn">
    <w:name w:val="Überschrift 1 Zchn"/>
    <w:basedOn w:val="Absatz-Standardschriftart"/>
    <w:link w:val="berschrift1"/>
    <w:uiPriority w:val="9"/>
    <w:rsid w:val="00AB1A87"/>
    <w:rPr>
      <w:rFonts w:cs="Verdana"/>
      <w:b/>
      <w:bCs/>
      <w:sz w:val="48"/>
      <w:szCs w:val="48"/>
      <w:u w:val="single"/>
      <w:lang w:val="de-DE"/>
    </w:rPr>
  </w:style>
  <w:style w:type="character" w:customStyle="1" w:styleId="berschrift2Zchn">
    <w:name w:val="Überschrift 2 Zchn"/>
    <w:basedOn w:val="Absatz-Standardschriftart"/>
    <w:link w:val="berschrift2"/>
    <w:uiPriority w:val="9"/>
    <w:rsid w:val="009A6654"/>
    <w:rPr>
      <w:rFonts w:ascii="Verdana" w:hAnsi="Verdana" w:cs="Verdana"/>
      <w:b/>
      <w:bCs/>
      <w:i/>
      <w:iCs/>
      <w:sz w:val="30"/>
      <w:szCs w:val="30"/>
      <w:u w:val="single"/>
      <w:lang w:val="de-DE"/>
    </w:rPr>
  </w:style>
  <w:style w:type="character" w:customStyle="1" w:styleId="berschrift3Zchn">
    <w:name w:val="Überschrift 3 Zchn"/>
    <w:basedOn w:val="Absatz-Standardschriftart"/>
    <w:link w:val="berschrift3"/>
    <w:uiPriority w:val="9"/>
    <w:rsid w:val="00BE541B"/>
    <w:rPr>
      <w:rFonts w:asciiTheme="majorHAnsi" w:eastAsiaTheme="majorEastAsia" w:hAnsiTheme="majorHAnsi" w:cstheme="majorBidi"/>
      <w:b/>
      <w:bCs/>
      <w:sz w:val="28"/>
    </w:rPr>
  </w:style>
  <w:style w:type="character" w:customStyle="1" w:styleId="berschrift4Zchn">
    <w:name w:val="Überschrift 4 Zchn"/>
    <w:basedOn w:val="Absatz-Standardschriftart"/>
    <w:link w:val="berschrift4"/>
    <w:uiPriority w:val="9"/>
    <w:rsid w:val="00D153C7"/>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BE541B"/>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BE541B"/>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BE541B"/>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BE541B"/>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BE541B"/>
    <w:rPr>
      <w:rFonts w:asciiTheme="majorHAnsi" w:eastAsiaTheme="majorEastAsia" w:hAnsiTheme="majorHAnsi" w:cstheme="majorBidi"/>
      <w:i/>
      <w:iCs/>
      <w:color w:val="404040" w:themeColor="text1" w:themeTint="BF"/>
      <w:sz w:val="20"/>
      <w:szCs w:val="20"/>
    </w:rPr>
  </w:style>
  <w:style w:type="paragraph" w:styleId="Listenabsatz">
    <w:name w:val="List Paragraph"/>
    <w:basedOn w:val="Standard"/>
    <w:uiPriority w:val="34"/>
    <w:qFormat/>
    <w:rsid w:val="00ED666A"/>
    <w:pPr>
      <w:ind w:left="720"/>
      <w:contextualSpacing/>
    </w:pPr>
  </w:style>
  <w:style w:type="paragraph" w:styleId="Funotentext">
    <w:name w:val="footnote text"/>
    <w:basedOn w:val="Standard"/>
    <w:link w:val="FunotentextZchn"/>
    <w:uiPriority w:val="99"/>
    <w:semiHidden/>
    <w:unhideWhenUsed/>
    <w:rsid w:val="00E8120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8120E"/>
    <w:rPr>
      <w:sz w:val="20"/>
      <w:szCs w:val="20"/>
    </w:rPr>
  </w:style>
  <w:style w:type="character" w:styleId="Funotenzeichen">
    <w:name w:val="footnote reference"/>
    <w:basedOn w:val="Absatz-Standardschriftart"/>
    <w:uiPriority w:val="99"/>
    <w:semiHidden/>
    <w:unhideWhenUsed/>
    <w:rsid w:val="00E8120E"/>
    <w:rPr>
      <w:vertAlign w:val="superscript"/>
    </w:rPr>
  </w:style>
  <w:style w:type="paragraph" w:customStyle="1" w:styleId="Funote">
    <w:name w:val="Fußnote"/>
    <w:basedOn w:val="Funotentext"/>
    <w:qFormat/>
    <w:rsid w:val="005A1F43"/>
    <w:rPr>
      <w:sz w:val="18"/>
      <w:szCs w:val="18"/>
    </w:rPr>
  </w:style>
  <w:style w:type="paragraph" w:customStyle="1" w:styleId="Einzug">
    <w:name w:val="Einzug"/>
    <w:basedOn w:val="Flietext"/>
    <w:uiPriority w:val="99"/>
    <w:rsid w:val="00335CDE"/>
    <w:pPr>
      <w:ind w:left="227"/>
    </w:pPr>
    <w:rPr>
      <w:rFonts w:ascii="Minion Pro" w:hAnsi="Minion Pro" w:cs="Minion Pro"/>
    </w:rPr>
  </w:style>
  <w:style w:type="paragraph" w:styleId="Inhaltsverzeichnisberschrift">
    <w:name w:val="TOC Heading"/>
    <w:basedOn w:val="berschrift1"/>
    <w:next w:val="Standard"/>
    <w:uiPriority w:val="39"/>
    <w:semiHidden/>
    <w:unhideWhenUsed/>
    <w:qFormat/>
    <w:rsid w:val="00564093"/>
    <w:pPr>
      <w:keepNext/>
      <w:keepLines/>
      <w:autoSpaceDE/>
      <w:autoSpaceDN/>
      <w:adjustRightInd/>
      <w:spacing w:before="480" w:line="276" w:lineRule="auto"/>
      <w:ind w:left="0" w:firstLine="0"/>
      <w:textAlignment w:val="auto"/>
      <w:outlineLvl w:val="9"/>
    </w:pPr>
    <w:rPr>
      <w:rFonts w:asciiTheme="majorHAnsi" w:eastAsiaTheme="majorEastAsia" w:hAnsiTheme="majorHAnsi" w:cstheme="majorBidi"/>
      <w:color w:val="365F91" w:themeColor="accent1" w:themeShade="BF"/>
      <w:sz w:val="28"/>
      <w:szCs w:val="28"/>
      <w:u w:val="none"/>
      <w:lang w:val="de-AT" w:eastAsia="de-AT"/>
    </w:rPr>
  </w:style>
  <w:style w:type="paragraph" w:styleId="Verzeichnis1">
    <w:name w:val="toc 1"/>
    <w:basedOn w:val="Standard"/>
    <w:next w:val="Standard"/>
    <w:autoRedefine/>
    <w:uiPriority w:val="39"/>
    <w:unhideWhenUsed/>
    <w:rsid w:val="006738E5"/>
    <w:pPr>
      <w:tabs>
        <w:tab w:val="left" w:pos="440"/>
        <w:tab w:val="right" w:leader="dot" w:pos="9825"/>
      </w:tabs>
      <w:spacing w:after="100"/>
    </w:pPr>
    <w:rPr>
      <w:b/>
      <w:noProof/>
      <w:sz w:val="28"/>
      <w:szCs w:val="28"/>
    </w:rPr>
  </w:style>
  <w:style w:type="paragraph" w:styleId="Verzeichnis2">
    <w:name w:val="toc 2"/>
    <w:basedOn w:val="Standard"/>
    <w:next w:val="Standard"/>
    <w:autoRedefine/>
    <w:uiPriority w:val="39"/>
    <w:unhideWhenUsed/>
    <w:rsid w:val="00564093"/>
    <w:pPr>
      <w:spacing w:after="100"/>
      <w:ind w:left="220"/>
    </w:pPr>
  </w:style>
  <w:style w:type="paragraph" w:styleId="Verzeichnis3">
    <w:name w:val="toc 3"/>
    <w:basedOn w:val="Standard"/>
    <w:next w:val="Standard"/>
    <w:autoRedefine/>
    <w:uiPriority w:val="39"/>
    <w:unhideWhenUsed/>
    <w:rsid w:val="00564093"/>
    <w:pPr>
      <w:spacing w:after="100"/>
      <w:ind w:left="440"/>
    </w:pPr>
  </w:style>
  <w:style w:type="paragraph" w:styleId="Kopfzeile">
    <w:name w:val="header"/>
    <w:basedOn w:val="Standard"/>
    <w:link w:val="KopfzeileZchn"/>
    <w:uiPriority w:val="99"/>
    <w:unhideWhenUsed/>
    <w:rsid w:val="00677EC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7ECF"/>
  </w:style>
  <w:style w:type="paragraph" w:styleId="Fuzeile">
    <w:name w:val="footer"/>
    <w:basedOn w:val="Standard"/>
    <w:link w:val="FuzeileZchn"/>
    <w:uiPriority w:val="99"/>
    <w:unhideWhenUsed/>
    <w:rsid w:val="00677EC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7E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853EE"/>
  </w:style>
  <w:style w:type="paragraph" w:styleId="berschrift1">
    <w:name w:val="heading 1"/>
    <w:basedOn w:val="ZGBAbschnitt"/>
    <w:next w:val="Standard"/>
    <w:link w:val="berschrift1Zchn"/>
    <w:autoRedefine/>
    <w:uiPriority w:val="9"/>
    <w:qFormat/>
    <w:rsid w:val="00AB1A87"/>
    <w:pPr>
      <w:ind w:left="432" w:hanging="432"/>
      <w:outlineLvl w:val="0"/>
    </w:pPr>
  </w:style>
  <w:style w:type="paragraph" w:styleId="berschrift2">
    <w:name w:val="heading 2"/>
    <w:basedOn w:val="berschrift1"/>
    <w:next w:val="ZGBFlietext"/>
    <w:link w:val="berschrift2Zchn"/>
    <w:autoRedefine/>
    <w:uiPriority w:val="9"/>
    <w:unhideWhenUsed/>
    <w:qFormat/>
    <w:rsid w:val="009A6654"/>
    <w:pPr>
      <w:ind w:left="0" w:firstLine="0"/>
      <w:outlineLvl w:val="1"/>
    </w:pPr>
    <w:rPr>
      <w:rFonts w:ascii="Verdana" w:hAnsi="Verdana"/>
      <w:i/>
      <w:iCs/>
      <w:sz w:val="30"/>
      <w:szCs w:val="30"/>
    </w:rPr>
  </w:style>
  <w:style w:type="paragraph" w:styleId="berschrift3">
    <w:name w:val="heading 3"/>
    <w:basedOn w:val="Standard"/>
    <w:next w:val="Standard"/>
    <w:link w:val="berschrift3Zchn"/>
    <w:uiPriority w:val="9"/>
    <w:unhideWhenUsed/>
    <w:qFormat/>
    <w:rsid w:val="00BE541B"/>
    <w:pPr>
      <w:keepNext/>
      <w:keepLines/>
      <w:spacing w:before="200" w:after="0"/>
      <w:outlineLvl w:val="2"/>
    </w:pPr>
    <w:rPr>
      <w:rFonts w:asciiTheme="majorHAnsi" w:eastAsiaTheme="majorEastAsia" w:hAnsiTheme="majorHAnsi" w:cstheme="majorBidi"/>
      <w:b/>
      <w:bCs/>
      <w:sz w:val="28"/>
    </w:rPr>
  </w:style>
  <w:style w:type="paragraph" w:styleId="berschrift4">
    <w:name w:val="heading 4"/>
    <w:basedOn w:val="Standard"/>
    <w:next w:val="Standard"/>
    <w:link w:val="berschrift4Zchn"/>
    <w:uiPriority w:val="9"/>
    <w:unhideWhenUsed/>
    <w:qFormat/>
    <w:rsid w:val="00D153C7"/>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BE541B"/>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BE541B"/>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BE541B"/>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BE541B"/>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BE541B"/>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text">
    <w:name w:val="Fließtext"/>
    <w:basedOn w:val="Standard"/>
    <w:uiPriority w:val="99"/>
    <w:rsid w:val="009853EE"/>
    <w:pPr>
      <w:autoSpaceDE w:val="0"/>
      <w:autoSpaceDN w:val="0"/>
      <w:adjustRightInd w:val="0"/>
      <w:spacing w:after="0" w:line="288" w:lineRule="auto"/>
      <w:jc w:val="both"/>
      <w:textAlignment w:val="center"/>
    </w:pPr>
    <w:rPr>
      <w:rFonts w:ascii="MinionPro-Regular" w:hAnsi="MinionPro-Regular" w:cs="MinionPro-Regular"/>
      <w:color w:val="000000"/>
      <w:sz w:val="20"/>
      <w:szCs w:val="20"/>
      <w:lang w:val="de-DE"/>
    </w:rPr>
  </w:style>
  <w:style w:type="character" w:customStyle="1" w:styleId="FLietext0">
    <w:name w:val="FLießtext"/>
    <w:uiPriority w:val="99"/>
    <w:rsid w:val="009853EE"/>
    <w:rPr>
      <w:rFonts w:ascii="MinionPro-Regular" w:hAnsi="MinionPro-Regular" w:cs="MinionPro-Regular"/>
      <w:sz w:val="20"/>
      <w:szCs w:val="20"/>
    </w:rPr>
  </w:style>
  <w:style w:type="paragraph" w:customStyle="1" w:styleId="Manahme">
    <w:name w:val="Maßnahme"/>
    <w:basedOn w:val="Flietext"/>
    <w:uiPriority w:val="99"/>
    <w:rsid w:val="009853EE"/>
    <w:pPr>
      <w:suppressAutoHyphens/>
      <w:jc w:val="left"/>
    </w:pPr>
    <w:rPr>
      <w:rFonts w:ascii="Verdana" w:hAnsi="Verdana" w:cs="Verdana"/>
      <w:b/>
      <w:bCs/>
      <w:color w:val="EA1C75"/>
      <w:sz w:val="28"/>
      <w:szCs w:val="28"/>
    </w:rPr>
  </w:style>
  <w:style w:type="character" w:customStyle="1" w:styleId="Manahme1">
    <w:name w:val="Maßnahme1"/>
    <w:basedOn w:val="Absatz-Standardschriftart"/>
    <w:uiPriority w:val="99"/>
    <w:rsid w:val="009853EE"/>
    <w:rPr>
      <w:rFonts w:ascii="Verdana" w:hAnsi="Verdana" w:cs="Verdana"/>
      <w:b/>
      <w:bCs/>
      <w:color w:val="EA1C75"/>
      <w:sz w:val="28"/>
      <w:szCs w:val="28"/>
    </w:rPr>
  </w:style>
  <w:style w:type="paragraph" w:customStyle="1" w:styleId="KeinAbsatzformat">
    <w:name w:val="[Kein Absatzformat]"/>
    <w:rsid w:val="009853EE"/>
    <w:pPr>
      <w:autoSpaceDE w:val="0"/>
      <w:autoSpaceDN w:val="0"/>
      <w:adjustRightInd w:val="0"/>
      <w:spacing w:after="0" w:line="288" w:lineRule="auto"/>
      <w:textAlignment w:val="center"/>
    </w:pPr>
    <w:rPr>
      <w:rFonts w:ascii="MinionPro-Regular" w:hAnsi="MinionPro-Regular" w:cs="MinionPro-Regular"/>
      <w:color w:val="000000"/>
      <w:sz w:val="24"/>
      <w:szCs w:val="24"/>
      <w:lang w:val="de-DE"/>
    </w:rPr>
  </w:style>
  <w:style w:type="character" w:customStyle="1" w:styleId="Einleitung">
    <w:name w:val="Einleitung"/>
    <w:basedOn w:val="FLietext0"/>
    <w:uiPriority w:val="99"/>
    <w:rsid w:val="009853EE"/>
    <w:rPr>
      <w:rFonts w:ascii="MinionPro-Regular" w:hAnsi="MinionPro-Regular" w:cs="MinionPro-Regular"/>
      <w:b/>
      <w:bCs/>
      <w:i/>
      <w:iCs/>
      <w:sz w:val="20"/>
      <w:szCs w:val="20"/>
    </w:rPr>
  </w:style>
  <w:style w:type="paragraph" w:customStyle="1" w:styleId="EinfAbs">
    <w:name w:val="[Einf. Abs.]"/>
    <w:basedOn w:val="KeinAbsatzformat"/>
    <w:uiPriority w:val="99"/>
    <w:rsid w:val="009853EE"/>
  </w:style>
  <w:style w:type="paragraph" w:customStyle="1" w:styleId="Kapitelberschrift">
    <w:name w:val="Kapitelüberschrift"/>
    <w:basedOn w:val="KeinAbsatzformat"/>
    <w:uiPriority w:val="99"/>
    <w:rsid w:val="009853EE"/>
    <w:pPr>
      <w:suppressAutoHyphens/>
      <w:ind w:left="964"/>
    </w:pPr>
    <w:rPr>
      <w:rFonts w:ascii="Verdana" w:hAnsi="Verdana" w:cs="Verdana"/>
      <w:b/>
      <w:bCs/>
      <w:i/>
      <w:iCs/>
      <w:color w:val="FFFFFF"/>
      <w:sz w:val="38"/>
      <w:szCs w:val="38"/>
    </w:rPr>
  </w:style>
  <w:style w:type="character" w:customStyle="1" w:styleId="Einleitung1">
    <w:name w:val="Einleitung1"/>
    <w:basedOn w:val="FLietext0"/>
    <w:uiPriority w:val="99"/>
    <w:rsid w:val="009853EE"/>
    <w:rPr>
      <w:rFonts w:ascii="MinionPro-BoldIt" w:hAnsi="MinionPro-BoldIt" w:cs="MinionPro-BoldIt"/>
      <w:b/>
      <w:bCs/>
      <w:i/>
      <w:iCs/>
      <w:sz w:val="20"/>
      <w:szCs w:val="20"/>
    </w:rPr>
  </w:style>
  <w:style w:type="paragraph" w:customStyle="1" w:styleId="ZGBAbschnitt">
    <w:name w:val="ZGB Abschnitt"/>
    <w:basedOn w:val="EinfAbs"/>
    <w:qFormat/>
    <w:rsid w:val="009853EE"/>
    <w:pPr>
      <w:spacing w:line="240" w:lineRule="auto"/>
    </w:pPr>
    <w:rPr>
      <w:rFonts w:asciiTheme="minorHAnsi" w:hAnsiTheme="minorHAnsi" w:cs="Verdana"/>
      <w:b/>
      <w:bCs/>
      <w:color w:val="auto"/>
      <w:sz w:val="48"/>
      <w:szCs w:val="48"/>
      <w:u w:val="single"/>
    </w:rPr>
  </w:style>
  <w:style w:type="paragraph" w:customStyle="1" w:styleId="ZGBKapitel">
    <w:name w:val="ZGB Kapitel"/>
    <w:basedOn w:val="Kapitelberschrift"/>
    <w:qFormat/>
    <w:rsid w:val="009853EE"/>
    <w:pPr>
      <w:spacing w:line="240" w:lineRule="auto"/>
      <w:ind w:left="0"/>
    </w:pPr>
    <w:rPr>
      <w:rFonts w:asciiTheme="minorHAnsi" w:hAnsiTheme="minorHAnsi"/>
      <w:i w:val="0"/>
      <w:color w:val="auto"/>
      <w:sz w:val="36"/>
      <w:szCs w:val="36"/>
    </w:rPr>
  </w:style>
  <w:style w:type="paragraph" w:customStyle="1" w:styleId="ZGBManahme">
    <w:name w:val="ZGB Maßnahme"/>
    <w:basedOn w:val="Manahme"/>
    <w:qFormat/>
    <w:rsid w:val="009853EE"/>
    <w:pPr>
      <w:spacing w:line="240" w:lineRule="auto"/>
    </w:pPr>
    <w:rPr>
      <w:rFonts w:asciiTheme="minorHAnsi" w:hAnsiTheme="minorHAnsi"/>
      <w:color w:val="auto"/>
    </w:rPr>
  </w:style>
  <w:style w:type="paragraph" w:customStyle="1" w:styleId="ZGBEinleitung">
    <w:name w:val="ZGB Einleitung"/>
    <w:basedOn w:val="Standard"/>
    <w:qFormat/>
    <w:rsid w:val="009853EE"/>
    <w:pPr>
      <w:autoSpaceDE w:val="0"/>
      <w:autoSpaceDN w:val="0"/>
      <w:adjustRightInd w:val="0"/>
      <w:spacing w:after="0" w:line="240" w:lineRule="auto"/>
      <w:jc w:val="both"/>
      <w:textAlignment w:val="center"/>
    </w:pPr>
    <w:rPr>
      <w:rFonts w:cs="MinionPro-Regular"/>
      <w:b/>
      <w:i/>
      <w:lang w:val="de-DE"/>
    </w:rPr>
  </w:style>
  <w:style w:type="paragraph" w:customStyle="1" w:styleId="ZGBFlietext">
    <w:name w:val="ZGB Fließtext"/>
    <w:basedOn w:val="Flietext"/>
    <w:qFormat/>
    <w:rsid w:val="00BE541B"/>
    <w:pPr>
      <w:spacing w:line="240" w:lineRule="auto"/>
    </w:pPr>
    <w:rPr>
      <w:rFonts w:asciiTheme="minorHAnsi" w:hAnsiTheme="minorHAnsi"/>
      <w:color w:val="000000" w:themeColor="text1"/>
      <w:sz w:val="22"/>
      <w:szCs w:val="22"/>
    </w:rPr>
  </w:style>
  <w:style w:type="paragraph" w:customStyle="1" w:styleId="ZGBKastenberschrift">
    <w:name w:val="ZGB Kastenüberschrift"/>
    <w:basedOn w:val="Manahme"/>
    <w:qFormat/>
    <w:rsid w:val="009853EE"/>
    <w:pPr>
      <w:pBdr>
        <w:top w:val="single" w:sz="4" w:space="1" w:color="auto"/>
        <w:left w:val="single" w:sz="4" w:space="4" w:color="auto"/>
        <w:bottom w:val="single" w:sz="4" w:space="1" w:color="auto"/>
        <w:right w:val="single" w:sz="4" w:space="4" w:color="auto"/>
      </w:pBdr>
      <w:spacing w:line="240" w:lineRule="auto"/>
    </w:pPr>
    <w:rPr>
      <w:rFonts w:asciiTheme="minorHAnsi" w:hAnsiTheme="minorHAnsi"/>
      <w:caps/>
      <w:color w:val="auto"/>
    </w:rPr>
  </w:style>
  <w:style w:type="paragraph" w:styleId="Sprechblasentext">
    <w:name w:val="Balloon Text"/>
    <w:basedOn w:val="Standard"/>
    <w:link w:val="SprechblasentextZchn"/>
    <w:uiPriority w:val="99"/>
    <w:semiHidden/>
    <w:unhideWhenUsed/>
    <w:rsid w:val="009853E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853EE"/>
    <w:rPr>
      <w:rFonts w:ascii="Tahoma" w:hAnsi="Tahoma" w:cs="Tahoma"/>
      <w:sz w:val="16"/>
      <w:szCs w:val="16"/>
    </w:rPr>
  </w:style>
  <w:style w:type="paragraph" w:styleId="KeinLeerraum">
    <w:name w:val="No Spacing"/>
    <w:uiPriority w:val="1"/>
    <w:qFormat/>
    <w:rsid w:val="009853EE"/>
    <w:pPr>
      <w:spacing w:after="0" w:line="240" w:lineRule="auto"/>
    </w:pPr>
  </w:style>
  <w:style w:type="character" w:styleId="IntensiveHervorhebung">
    <w:name w:val="Intense Emphasis"/>
    <w:basedOn w:val="Absatz-Standardschriftart"/>
    <w:uiPriority w:val="21"/>
    <w:qFormat/>
    <w:rsid w:val="009853EE"/>
    <w:rPr>
      <w:b/>
      <w:bCs/>
      <w:i/>
      <w:iCs/>
      <w:color w:val="4F81BD" w:themeColor="accent1"/>
    </w:rPr>
  </w:style>
  <w:style w:type="character" w:styleId="Hyperlink">
    <w:name w:val="Hyperlink"/>
    <w:basedOn w:val="Absatz-Standardschriftart"/>
    <w:uiPriority w:val="99"/>
    <w:unhideWhenUsed/>
    <w:rsid w:val="00583AAD"/>
    <w:rPr>
      <w:color w:val="0000FF" w:themeColor="hyperlink"/>
      <w:u w:val="single"/>
    </w:rPr>
  </w:style>
  <w:style w:type="character" w:customStyle="1" w:styleId="berschrift1Zchn">
    <w:name w:val="Überschrift 1 Zchn"/>
    <w:basedOn w:val="Absatz-Standardschriftart"/>
    <w:link w:val="berschrift1"/>
    <w:uiPriority w:val="9"/>
    <w:rsid w:val="00AB1A87"/>
    <w:rPr>
      <w:rFonts w:cs="Verdana"/>
      <w:b/>
      <w:bCs/>
      <w:sz w:val="48"/>
      <w:szCs w:val="48"/>
      <w:u w:val="single"/>
      <w:lang w:val="de-DE"/>
    </w:rPr>
  </w:style>
  <w:style w:type="character" w:customStyle="1" w:styleId="berschrift2Zchn">
    <w:name w:val="Überschrift 2 Zchn"/>
    <w:basedOn w:val="Absatz-Standardschriftart"/>
    <w:link w:val="berschrift2"/>
    <w:uiPriority w:val="9"/>
    <w:rsid w:val="009A6654"/>
    <w:rPr>
      <w:rFonts w:ascii="Verdana" w:hAnsi="Verdana" w:cs="Verdana"/>
      <w:b/>
      <w:bCs/>
      <w:i/>
      <w:iCs/>
      <w:sz w:val="30"/>
      <w:szCs w:val="30"/>
      <w:u w:val="single"/>
      <w:lang w:val="de-DE"/>
    </w:rPr>
  </w:style>
  <w:style w:type="character" w:customStyle="1" w:styleId="berschrift3Zchn">
    <w:name w:val="Überschrift 3 Zchn"/>
    <w:basedOn w:val="Absatz-Standardschriftart"/>
    <w:link w:val="berschrift3"/>
    <w:uiPriority w:val="9"/>
    <w:rsid w:val="00BE541B"/>
    <w:rPr>
      <w:rFonts w:asciiTheme="majorHAnsi" w:eastAsiaTheme="majorEastAsia" w:hAnsiTheme="majorHAnsi" w:cstheme="majorBidi"/>
      <w:b/>
      <w:bCs/>
      <w:sz w:val="28"/>
    </w:rPr>
  </w:style>
  <w:style w:type="character" w:customStyle="1" w:styleId="berschrift4Zchn">
    <w:name w:val="Überschrift 4 Zchn"/>
    <w:basedOn w:val="Absatz-Standardschriftart"/>
    <w:link w:val="berschrift4"/>
    <w:uiPriority w:val="9"/>
    <w:rsid w:val="00D153C7"/>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BE541B"/>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BE541B"/>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BE541B"/>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BE541B"/>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BE541B"/>
    <w:rPr>
      <w:rFonts w:asciiTheme="majorHAnsi" w:eastAsiaTheme="majorEastAsia" w:hAnsiTheme="majorHAnsi" w:cstheme="majorBidi"/>
      <w:i/>
      <w:iCs/>
      <w:color w:val="404040" w:themeColor="text1" w:themeTint="BF"/>
      <w:sz w:val="20"/>
      <w:szCs w:val="20"/>
    </w:rPr>
  </w:style>
  <w:style w:type="paragraph" w:styleId="Listenabsatz">
    <w:name w:val="List Paragraph"/>
    <w:basedOn w:val="Standard"/>
    <w:uiPriority w:val="34"/>
    <w:qFormat/>
    <w:rsid w:val="00ED666A"/>
    <w:pPr>
      <w:ind w:left="720"/>
      <w:contextualSpacing/>
    </w:pPr>
  </w:style>
  <w:style w:type="paragraph" w:styleId="Funotentext">
    <w:name w:val="footnote text"/>
    <w:basedOn w:val="Standard"/>
    <w:link w:val="FunotentextZchn"/>
    <w:uiPriority w:val="99"/>
    <w:semiHidden/>
    <w:unhideWhenUsed/>
    <w:rsid w:val="00E8120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8120E"/>
    <w:rPr>
      <w:sz w:val="20"/>
      <w:szCs w:val="20"/>
    </w:rPr>
  </w:style>
  <w:style w:type="character" w:styleId="Funotenzeichen">
    <w:name w:val="footnote reference"/>
    <w:basedOn w:val="Absatz-Standardschriftart"/>
    <w:uiPriority w:val="99"/>
    <w:semiHidden/>
    <w:unhideWhenUsed/>
    <w:rsid w:val="00E8120E"/>
    <w:rPr>
      <w:vertAlign w:val="superscript"/>
    </w:rPr>
  </w:style>
  <w:style w:type="paragraph" w:customStyle="1" w:styleId="Funote">
    <w:name w:val="Fußnote"/>
    <w:basedOn w:val="Funotentext"/>
    <w:qFormat/>
    <w:rsid w:val="005A1F43"/>
    <w:rPr>
      <w:sz w:val="18"/>
      <w:szCs w:val="18"/>
    </w:rPr>
  </w:style>
  <w:style w:type="paragraph" w:customStyle="1" w:styleId="Einzug">
    <w:name w:val="Einzug"/>
    <w:basedOn w:val="Flietext"/>
    <w:uiPriority w:val="99"/>
    <w:rsid w:val="00335CDE"/>
    <w:pPr>
      <w:ind w:left="227"/>
    </w:pPr>
    <w:rPr>
      <w:rFonts w:ascii="Minion Pro" w:hAnsi="Minion Pro" w:cs="Minion Pro"/>
    </w:rPr>
  </w:style>
  <w:style w:type="paragraph" w:styleId="Inhaltsverzeichnisberschrift">
    <w:name w:val="TOC Heading"/>
    <w:basedOn w:val="berschrift1"/>
    <w:next w:val="Standard"/>
    <w:uiPriority w:val="39"/>
    <w:semiHidden/>
    <w:unhideWhenUsed/>
    <w:qFormat/>
    <w:rsid w:val="00564093"/>
    <w:pPr>
      <w:keepNext/>
      <w:keepLines/>
      <w:autoSpaceDE/>
      <w:autoSpaceDN/>
      <w:adjustRightInd/>
      <w:spacing w:before="480" w:line="276" w:lineRule="auto"/>
      <w:ind w:left="0" w:firstLine="0"/>
      <w:textAlignment w:val="auto"/>
      <w:outlineLvl w:val="9"/>
    </w:pPr>
    <w:rPr>
      <w:rFonts w:asciiTheme="majorHAnsi" w:eastAsiaTheme="majorEastAsia" w:hAnsiTheme="majorHAnsi" w:cstheme="majorBidi"/>
      <w:color w:val="365F91" w:themeColor="accent1" w:themeShade="BF"/>
      <w:sz w:val="28"/>
      <w:szCs w:val="28"/>
      <w:u w:val="none"/>
      <w:lang w:val="de-AT" w:eastAsia="de-AT"/>
    </w:rPr>
  </w:style>
  <w:style w:type="paragraph" w:styleId="Verzeichnis1">
    <w:name w:val="toc 1"/>
    <w:basedOn w:val="Standard"/>
    <w:next w:val="Standard"/>
    <w:autoRedefine/>
    <w:uiPriority w:val="39"/>
    <w:unhideWhenUsed/>
    <w:rsid w:val="006738E5"/>
    <w:pPr>
      <w:tabs>
        <w:tab w:val="left" w:pos="440"/>
        <w:tab w:val="right" w:leader="dot" w:pos="9825"/>
      </w:tabs>
      <w:spacing w:after="100"/>
    </w:pPr>
    <w:rPr>
      <w:b/>
      <w:noProof/>
      <w:sz w:val="28"/>
      <w:szCs w:val="28"/>
    </w:rPr>
  </w:style>
  <w:style w:type="paragraph" w:styleId="Verzeichnis2">
    <w:name w:val="toc 2"/>
    <w:basedOn w:val="Standard"/>
    <w:next w:val="Standard"/>
    <w:autoRedefine/>
    <w:uiPriority w:val="39"/>
    <w:unhideWhenUsed/>
    <w:rsid w:val="00564093"/>
    <w:pPr>
      <w:spacing w:after="100"/>
      <w:ind w:left="220"/>
    </w:pPr>
  </w:style>
  <w:style w:type="paragraph" w:styleId="Verzeichnis3">
    <w:name w:val="toc 3"/>
    <w:basedOn w:val="Standard"/>
    <w:next w:val="Standard"/>
    <w:autoRedefine/>
    <w:uiPriority w:val="39"/>
    <w:unhideWhenUsed/>
    <w:rsid w:val="00564093"/>
    <w:pPr>
      <w:spacing w:after="100"/>
      <w:ind w:left="440"/>
    </w:pPr>
  </w:style>
  <w:style w:type="paragraph" w:styleId="Kopfzeile">
    <w:name w:val="header"/>
    <w:basedOn w:val="Standard"/>
    <w:link w:val="KopfzeileZchn"/>
    <w:uiPriority w:val="99"/>
    <w:unhideWhenUsed/>
    <w:rsid w:val="00677EC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7ECF"/>
  </w:style>
  <w:style w:type="paragraph" w:styleId="Fuzeile">
    <w:name w:val="footer"/>
    <w:basedOn w:val="Standard"/>
    <w:link w:val="FuzeileZchn"/>
    <w:uiPriority w:val="99"/>
    <w:unhideWhenUsed/>
    <w:rsid w:val="00677EC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tiff"/><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hyperlink" Target="mailto:infos@wege-aus-der-krise.at"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920F9-4EC6-4992-8E32-B7037B89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27608</Words>
  <Characters>173933</Characters>
  <Application>Microsoft Office Word</Application>
  <DocSecurity>0</DocSecurity>
  <Lines>1449</Lines>
  <Paragraphs>402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fabina.unterberger</dc:creator>
  <cp:lastModifiedBy>fabina.unterberger</cp:lastModifiedBy>
  <cp:revision>14</cp:revision>
  <dcterms:created xsi:type="dcterms:W3CDTF">2014-11-07T13:49:00Z</dcterms:created>
  <dcterms:modified xsi:type="dcterms:W3CDTF">2015-02-17T11:02:00Z</dcterms:modified>
</cp:coreProperties>
</file>